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B3" w:rsidRDefault="008B57B3" w:rsidP="00D45CF6">
      <w:pPr>
        <w:pStyle w:val="Title"/>
        <w:spacing w:after="0" w:line="240" w:lineRule="auto"/>
        <w:rPr>
          <w:rFonts w:ascii="Arial" w:hAnsi="Arial" w:cs="Arial"/>
        </w:rPr>
      </w:pPr>
      <w:r>
        <w:rPr>
          <w:rFonts w:ascii="Arial" w:hAnsi="Arial" w:cs="Arial"/>
        </w:rPr>
        <w:t xml:space="preserve">PUCT </w:t>
      </w:r>
      <w:r w:rsidRPr="00010500">
        <w:rPr>
          <w:rFonts w:ascii="Arial" w:hAnsi="Arial" w:cs="Arial"/>
        </w:rPr>
        <w:t xml:space="preserve">DOCKET NO. </w:t>
      </w:r>
      <w:r>
        <w:rPr>
          <w:rFonts w:ascii="Arial" w:hAnsi="Arial" w:cs="Arial"/>
        </w:rPr>
        <w:t>37744</w:t>
      </w:r>
    </w:p>
    <w:p w:rsidR="008B57B3" w:rsidRDefault="008B57B3" w:rsidP="00D45CF6">
      <w:pPr>
        <w:pStyle w:val="Title"/>
        <w:spacing w:after="0" w:line="240" w:lineRule="auto"/>
        <w:rPr>
          <w:rFonts w:ascii="Arial" w:hAnsi="Arial" w:cs="Arial"/>
        </w:rPr>
      </w:pPr>
      <w:r>
        <w:rPr>
          <w:rFonts w:ascii="Arial" w:hAnsi="Arial" w:cs="Arial"/>
        </w:rPr>
        <w:t>SOAH DOCKET NO. 473-10-1962</w:t>
      </w:r>
    </w:p>
    <w:p w:rsidR="008B57B3" w:rsidRDefault="008B57B3" w:rsidP="008B57B3">
      <w:pPr>
        <w:spacing w:line="360" w:lineRule="auto"/>
        <w:jc w:val="center"/>
        <w:rPr>
          <w:rFonts w:ascii="Arial" w:hAnsi="Arial" w:cs="Arial"/>
          <w:b/>
          <w:bCs/>
        </w:rPr>
      </w:pPr>
    </w:p>
    <w:tbl>
      <w:tblPr>
        <w:tblW w:w="0" w:type="auto"/>
        <w:tblLook w:val="01E0"/>
      </w:tblPr>
      <w:tblGrid>
        <w:gridCol w:w="4471"/>
        <w:gridCol w:w="750"/>
        <w:gridCol w:w="4355"/>
      </w:tblGrid>
      <w:tr w:rsidR="008B57B3" w:rsidTr="008B57B3">
        <w:trPr>
          <w:trHeight w:val="1089"/>
        </w:trPr>
        <w:tc>
          <w:tcPr>
            <w:tcW w:w="4878" w:type="dxa"/>
          </w:tcPr>
          <w:p w:rsidR="008B57B3" w:rsidRPr="00025D5E" w:rsidRDefault="008B57B3" w:rsidP="00D45CF6">
            <w:pPr>
              <w:spacing w:after="0" w:line="240" w:lineRule="auto"/>
              <w:rPr>
                <w:rFonts w:ascii="Arial" w:hAnsi="Arial" w:cs="Arial"/>
                <w:b/>
                <w:bCs/>
              </w:rPr>
            </w:pPr>
            <w:r w:rsidRPr="00025D5E">
              <w:rPr>
                <w:rFonts w:ascii="Arial" w:hAnsi="Arial" w:cs="Arial"/>
                <w:b/>
                <w:bCs/>
              </w:rPr>
              <w:t xml:space="preserve">APPLICATION OF ENTERGY TEXAS, INC. FOR AUTHORITY TO CHANGE RATES </w:t>
            </w:r>
            <w:smartTag w:uri="urn:schemas-microsoft-com:office:smarttags" w:element="stockticker">
              <w:r w:rsidRPr="00025D5E">
                <w:rPr>
                  <w:rFonts w:ascii="Arial" w:hAnsi="Arial" w:cs="Arial"/>
                  <w:b/>
                  <w:bCs/>
                </w:rPr>
                <w:t>AND</w:t>
              </w:r>
            </w:smartTag>
            <w:r w:rsidRPr="00025D5E">
              <w:rPr>
                <w:rFonts w:ascii="Arial" w:hAnsi="Arial" w:cs="Arial"/>
                <w:b/>
                <w:bCs/>
              </w:rPr>
              <w:t xml:space="preserve"> TO RECONCILE </w:t>
            </w:r>
            <w:smartTag w:uri="urn:schemas-microsoft-com:office:smarttags" w:element="stockticker">
              <w:r w:rsidRPr="00025D5E">
                <w:rPr>
                  <w:rFonts w:ascii="Arial" w:hAnsi="Arial" w:cs="Arial"/>
                  <w:b/>
                  <w:bCs/>
                </w:rPr>
                <w:t>FUEL</w:t>
              </w:r>
            </w:smartTag>
            <w:r w:rsidRPr="00025D5E">
              <w:rPr>
                <w:rFonts w:ascii="Arial" w:hAnsi="Arial" w:cs="Arial"/>
                <w:b/>
                <w:bCs/>
              </w:rPr>
              <w:t xml:space="preserve"> COSTS</w:t>
            </w:r>
          </w:p>
        </w:tc>
        <w:tc>
          <w:tcPr>
            <w:tcW w:w="810" w:type="dxa"/>
          </w:tcPr>
          <w:p w:rsidR="00D45CF6" w:rsidRPr="00025D5E" w:rsidRDefault="00D45CF6" w:rsidP="00D45CF6">
            <w:pPr>
              <w:spacing w:after="0" w:line="240" w:lineRule="auto"/>
              <w:jc w:val="center"/>
              <w:rPr>
                <w:rFonts w:ascii="Arial" w:hAnsi="Arial" w:cs="Arial"/>
                <w:b/>
                <w:bCs/>
              </w:rPr>
            </w:pPr>
            <w:r w:rsidRPr="00025D5E">
              <w:rPr>
                <w:rFonts w:ascii="Arial" w:hAnsi="Arial" w:cs="Arial"/>
                <w:b/>
                <w:bCs/>
              </w:rPr>
              <w:t>§</w:t>
            </w:r>
          </w:p>
          <w:p w:rsidR="00D45CF6" w:rsidRPr="00025D5E" w:rsidRDefault="00D45CF6" w:rsidP="00D45CF6">
            <w:pPr>
              <w:spacing w:after="0" w:line="240" w:lineRule="auto"/>
              <w:jc w:val="center"/>
              <w:rPr>
                <w:rFonts w:ascii="Arial" w:hAnsi="Arial" w:cs="Arial"/>
                <w:b/>
                <w:bCs/>
              </w:rPr>
            </w:pPr>
            <w:r w:rsidRPr="00025D5E">
              <w:rPr>
                <w:rFonts w:ascii="Arial" w:hAnsi="Arial" w:cs="Arial"/>
                <w:b/>
                <w:bCs/>
              </w:rPr>
              <w:t>§</w:t>
            </w:r>
          </w:p>
          <w:p w:rsidR="00D45CF6" w:rsidRDefault="00D45CF6" w:rsidP="00D45CF6">
            <w:pPr>
              <w:spacing w:after="0" w:line="240" w:lineRule="auto"/>
              <w:jc w:val="center"/>
              <w:rPr>
                <w:rFonts w:ascii="Arial" w:hAnsi="Arial" w:cs="Arial"/>
                <w:b/>
                <w:bCs/>
              </w:rPr>
            </w:pPr>
            <w:r w:rsidRPr="00025D5E">
              <w:rPr>
                <w:rFonts w:ascii="Arial" w:hAnsi="Arial" w:cs="Arial"/>
                <w:b/>
                <w:bCs/>
              </w:rPr>
              <w:t>§</w:t>
            </w:r>
          </w:p>
          <w:p w:rsidR="008B57B3" w:rsidRPr="00025D5E" w:rsidRDefault="00D45CF6" w:rsidP="009F3F1F">
            <w:pPr>
              <w:spacing w:after="0" w:line="240" w:lineRule="auto"/>
              <w:ind w:left="57" w:hanging="43"/>
              <w:jc w:val="center"/>
              <w:rPr>
                <w:rFonts w:ascii="Arial" w:hAnsi="Arial" w:cs="Arial"/>
                <w:b/>
                <w:bCs/>
              </w:rPr>
            </w:pPr>
            <w:r w:rsidRPr="00025D5E">
              <w:rPr>
                <w:rFonts w:ascii="Arial" w:hAnsi="Arial" w:cs="Arial"/>
                <w:b/>
                <w:bCs/>
              </w:rPr>
              <w:t>§</w:t>
            </w:r>
          </w:p>
        </w:tc>
        <w:tc>
          <w:tcPr>
            <w:tcW w:w="4752" w:type="dxa"/>
          </w:tcPr>
          <w:p w:rsidR="008B57B3" w:rsidRPr="00025D5E" w:rsidRDefault="008B57B3" w:rsidP="00D45CF6">
            <w:pPr>
              <w:jc w:val="center"/>
              <w:rPr>
                <w:rFonts w:ascii="Arial" w:hAnsi="Arial" w:cs="Arial"/>
                <w:b/>
                <w:bCs/>
              </w:rPr>
            </w:pPr>
            <w:r>
              <w:rPr>
                <w:rFonts w:ascii="Arial" w:hAnsi="Arial" w:cs="Arial"/>
                <w:b/>
                <w:bCs/>
              </w:rPr>
              <w:t>PUBLIC UTILITY COMMISSION</w:t>
            </w:r>
            <w:r w:rsidR="00D45CF6">
              <w:rPr>
                <w:rFonts w:ascii="Arial" w:hAnsi="Arial" w:cs="Arial"/>
                <w:b/>
                <w:bCs/>
              </w:rPr>
              <w:br/>
            </w:r>
            <w:r w:rsidR="00D45CF6">
              <w:rPr>
                <w:rFonts w:ascii="Arial" w:hAnsi="Arial" w:cs="Arial"/>
                <w:b/>
                <w:bCs/>
              </w:rPr>
              <w:br/>
            </w:r>
            <w:r>
              <w:rPr>
                <w:rFonts w:ascii="Arial" w:hAnsi="Arial" w:cs="Arial"/>
                <w:b/>
                <w:bCs/>
              </w:rPr>
              <w:t>OF TEXAS</w:t>
            </w:r>
          </w:p>
        </w:tc>
      </w:tr>
    </w:tbl>
    <w:p w:rsidR="008B57B3" w:rsidRPr="00010500" w:rsidRDefault="008B57B3" w:rsidP="008B57B3">
      <w:pPr>
        <w:jc w:val="center"/>
        <w:rPr>
          <w:rFonts w:ascii="Arial" w:hAnsi="Arial" w:cs="Arial"/>
          <w:b/>
          <w:bCs/>
        </w:rPr>
      </w:pPr>
    </w:p>
    <w:p w:rsidR="00D45CF6" w:rsidRPr="00E478B5" w:rsidRDefault="00D45CF6" w:rsidP="00D45CF6">
      <w:pPr>
        <w:spacing w:after="0" w:line="240" w:lineRule="auto"/>
        <w:jc w:val="center"/>
        <w:rPr>
          <w:rFonts w:ascii="Arial" w:hAnsi="Arial" w:cs="Arial"/>
          <w:b/>
          <w:bCs/>
        </w:rPr>
      </w:pPr>
      <w:r w:rsidRPr="00E478B5">
        <w:rPr>
          <w:rFonts w:ascii="Arial" w:hAnsi="Arial" w:cs="Arial"/>
          <w:b/>
          <w:bCs/>
        </w:rPr>
        <w:t>RESPONSE OF ENTERGY TEXAS, INC. TO</w:t>
      </w:r>
    </w:p>
    <w:p w:rsidR="00D45CF6" w:rsidRPr="00E478B5" w:rsidRDefault="00D45CF6" w:rsidP="00D45CF6">
      <w:pPr>
        <w:spacing w:after="0" w:line="240" w:lineRule="auto"/>
        <w:jc w:val="center"/>
        <w:rPr>
          <w:rFonts w:ascii="Arial" w:hAnsi="Arial" w:cs="Arial"/>
          <w:b/>
          <w:bCs/>
        </w:rPr>
      </w:pPr>
      <w:r w:rsidRPr="00E478B5">
        <w:rPr>
          <w:rFonts w:ascii="Arial" w:hAnsi="Arial" w:cs="Arial"/>
          <w:b/>
          <w:bCs/>
        </w:rPr>
        <w:t>APPEAL OF CO</w:t>
      </w:r>
      <w:r w:rsidR="00264607">
        <w:rPr>
          <w:rFonts w:ascii="Arial" w:hAnsi="Arial" w:cs="Arial"/>
          <w:b/>
          <w:bCs/>
        </w:rPr>
        <w:t>TTONWOOD ENERGY COMPANY, L.P.</w:t>
      </w:r>
      <w:r w:rsidR="006B29B8">
        <w:rPr>
          <w:rFonts w:ascii="Arial" w:hAnsi="Arial" w:cs="Arial"/>
          <w:b/>
          <w:bCs/>
        </w:rPr>
        <w:t xml:space="preserve"> </w:t>
      </w:r>
      <w:r w:rsidR="00264607">
        <w:rPr>
          <w:rFonts w:ascii="Arial" w:hAnsi="Arial" w:cs="Arial"/>
          <w:b/>
          <w:bCs/>
        </w:rPr>
        <w:t>OF</w:t>
      </w:r>
    </w:p>
    <w:p w:rsidR="00D45CF6" w:rsidRPr="00E478B5" w:rsidRDefault="00D45CF6" w:rsidP="00B23419">
      <w:pPr>
        <w:pStyle w:val="Style"/>
        <w:rPr>
          <w:rFonts w:ascii="Arial" w:hAnsi="Arial" w:cs="Arial"/>
          <w:b/>
          <w:u w:val="single"/>
        </w:rPr>
      </w:pPr>
      <w:r w:rsidRPr="00E478B5">
        <w:rPr>
          <w:rFonts w:ascii="Arial" w:hAnsi="Arial" w:cs="Arial"/>
          <w:b/>
        </w:rPr>
        <w:t>ORDER DENYING INTERVENTION OR, IN THE</w:t>
      </w:r>
      <w:r w:rsidR="006B29B8">
        <w:rPr>
          <w:rFonts w:ascii="Arial" w:hAnsi="Arial" w:cs="Arial"/>
          <w:b/>
        </w:rPr>
        <w:t xml:space="preserve"> </w:t>
      </w:r>
      <w:r w:rsidRPr="00E478B5">
        <w:rPr>
          <w:rFonts w:ascii="Arial" w:hAnsi="Arial" w:cs="Arial"/>
          <w:b/>
        </w:rPr>
        <w:t>ALTERNATIVE,</w:t>
      </w:r>
    </w:p>
    <w:p w:rsidR="00D45CF6" w:rsidRPr="00E478B5" w:rsidRDefault="00D45CF6" w:rsidP="00D45CF6">
      <w:pPr>
        <w:spacing w:after="0" w:line="240" w:lineRule="auto"/>
        <w:jc w:val="center"/>
        <w:rPr>
          <w:rFonts w:ascii="Arial" w:hAnsi="Arial" w:cs="Arial"/>
          <w:b/>
          <w:bCs/>
          <w:u w:val="single"/>
        </w:rPr>
      </w:pPr>
      <w:r w:rsidRPr="00E478B5">
        <w:rPr>
          <w:rFonts w:ascii="Arial" w:hAnsi="Arial" w:cs="Arial"/>
          <w:b/>
          <w:bCs/>
          <w:u w:val="single"/>
        </w:rPr>
        <w:t xml:space="preserve">MOTION FOR RECONSIDERATION </w:t>
      </w:r>
    </w:p>
    <w:p w:rsidR="008B57B3" w:rsidRDefault="008B57B3" w:rsidP="008B57B3">
      <w:pPr>
        <w:jc w:val="center"/>
        <w:rPr>
          <w:rFonts w:ascii="Arial" w:hAnsi="Arial" w:cs="Arial"/>
          <w:b/>
          <w:bCs/>
          <w:u w:val="single"/>
        </w:rPr>
      </w:pPr>
    </w:p>
    <w:p w:rsidR="00504A25" w:rsidRPr="00D81A12" w:rsidRDefault="00504A25" w:rsidP="00E21D1A">
      <w:pPr>
        <w:tabs>
          <w:tab w:val="left" w:pos="990"/>
        </w:tabs>
        <w:jc w:val="center"/>
        <w:rPr>
          <w:rFonts w:ascii="Arial" w:hAnsi="Arial" w:cs="Arial"/>
        </w:rPr>
      </w:pPr>
      <w:r w:rsidRPr="00D81A12">
        <w:rPr>
          <w:rFonts w:ascii="Arial" w:hAnsi="Arial" w:cs="Arial"/>
        </w:rPr>
        <w:t>TABLE OF CONTENTS</w:t>
      </w:r>
    </w:p>
    <w:p w:rsidR="00504A25" w:rsidRPr="00AA7830" w:rsidRDefault="00504A25" w:rsidP="002E0678">
      <w:pPr>
        <w:tabs>
          <w:tab w:val="left" w:pos="360"/>
          <w:tab w:val="left" w:pos="720"/>
          <w:tab w:val="right" w:pos="8640"/>
          <w:tab w:val="right" w:pos="9360"/>
        </w:tabs>
        <w:spacing w:line="480" w:lineRule="auto"/>
        <w:ind w:left="360" w:hanging="360"/>
        <w:jc w:val="right"/>
        <w:rPr>
          <w:rFonts w:ascii="Arial" w:hAnsi="Arial" w:cs="Arial"/>
        </w:rPr>
      </w:pPr>
      <w:r w:rsidRPr="00AA7830">
        <w:rPr>
          <w:rFonts w:ascii="Arial" w:hAnsi="Arial" w:cs="Arial"/>
        </w:rPr>
        <w:tab/>
      </w:r>
      <w:r w:rsidR="000964D3">
        <w:rPr>
          <w:rFonts w:ascii="Arial" w:hAnsi="Arial" w:cs="Arial"/>
        </w:rPr>
        <w:tab/>
      </w:r>
      <w:r w:rsidRPr="00AA7830">
        <w:rPr>
          <w:rFonts w:ascii="Arial" w:hAnsi="Arial" w:cs="Arial"/>
        </w:rPr>
        <w:t>Page</w:t>
      </w:r>
    </w:p>
    <w:p w:rsidR="00264607" w:rsidRDefault="00D21767">
      <w:pPr>
        <w:pStyle w:val="TOC1"/>
        <w:rPr>
          <w:rFonts w:asciiTheme="minorHAnsi" w:eastAsiaTheme="minorEastAsia" w:hAnsiTheme="minorHAnsi" w:cstheme="minorBidi"/>
          <w:noProof/>
          <w:sz w:val="22"/>
          <w:szCs w:val="22"/>
        </w:rPr>
      </w:pPr>
      <w:r w:rsidRPr="00D21767">
        <w:rPr>
          <w:rFonts w:cs="Arial"/>
          <w:b/>
          <w:bCs/>
        </w:rPr>
        <w:fldChar w:fldCharType="begin"/>
      </w:r>
      <w:r w:rsidR="00264607">
        <w:rPr>
          <w:rFonts w:cs="Arial"/>
          <w:b/>
          <w:bCs/>
        </w:rPr>
        <w:instrText xml:space="preserve"> TOC \o "1-3" \h \z \t "Level 2,2,Level 3,3" </w:instrText>
      </w:r>
      <w:r w:rsidRPr="00D21767">
        <w:rPr>
          <w:rFonts w:cs="Arial"/>
          <w:b/>
          <w:bCs/>
        </w:rPr>
        <w:fldChar w:fldCharType="separate"/>
      </w:r>
      <w:hyperlink w:anchor="_Toc254695644" w:history="1">
        <w:r w:rsidR="00264607" w:rsidRPr="007F3634">
          <w:rPr>
            <w:rStyle w:val="Hyperlink"/>
            <w:noProof/>
          </w:rPr>
          <w:t>I.</w:t>
        </w:r>
        <w:r w:rsidR="00264607">
          <w:rPr>
            <w:rFonts w:asciiTheme="minorHAnsi" w:eastAsiaTheme="minorEastAsia" w:hAnsiTheme="minorHAnsi" w:cstheme="minorBidi"/>
            <w:noProof/>
            <w:sz w:val="22"/>
            <w:szCs w:val="22"/>
          </w:rPr>
          <w:tab/>
        </w:r>
        <w:r w:rsidR="00264607" w:rsidRPr="007F3634">
          <w:rPr>
            <w:rStyle w:val="Hyperlink"/>
            <w:noProof/>
          </w:rPr>
          <w:t>PROCEDURAL MATTERS</w:t>
        </w:r>
        <w:r w:rsidR="00264607">
          <w:rPr>
            <w:noProof/>
            <w:webHidden/>
          </w:rPr>
          <w:tab/>
        </w:r>
        <w:r>
          <w:rPr>
            <w:noProof/>
            <w:webHidden/>
          </w:rPr>
          <w:fldChar w:fldCharType="begin"/>
        </w:r>
        <w:r w:rsidR="00264607">
          <w:rPr>
            <w:noProof/>
            <w:webHidden/>
          </w:rPr>
          <w:instrText xml:space="preserve"> PAGEREF _Toc254695644 \h </w:instrText>
        </w:r>
        <w:r>
          <w:rPr>
            <w:noProof/>
            <w:webHidden/>
          </w:rPr>
        </w:r>
        <w:r>
          <w:rPr>
            <w:noProof/>
            <w:webHidden/>
          </w:rPr>
          <w:fldChar w:fldCharType="separate"/>
        </w:r>
        <w:r w:rsidR="00E100EF">
          <w:rPr>
            <w:noProof/>
            <w:webHidden/>
          </w:rPr>
          <w:t>3</w:t>
        </w:r>
        <w:r>
          <w:rPr>
            <w:noProof/>
            <w:webHidden/>
          </w:rPr>
          <w:fldChar w:fldCharType="end"/>
        </w:r>
      </w:hyperlink>
    </w:p>
    <w:p w:rsidR="00264607" w:rsidRDefault="00D21767">
      <w:pPr>
        <w:pStyle w:val="TOC1"/>
        <w:rPr>
          <w:rFonts w:asciiTheme="minorHAnsi" w:eastAsiaTheme="minorEastAsia" w:hAnsiTheme="minorHAnsi" w:cstheme="minorBidi"/>
          <w:noProof/>
          <w:sz w:val="22"/>
          <w:szCs w:val="22"/>
        </w:rPr>
      </w:pPr>
      <w:hyperlink w:anchor="_Toc254695645" w:history="1">
        <w:r w:rsidR="00264607" w:rsidRPr="007F3634">
          <w:rPr>
            <w:rStyle w:val="Hyperlink"/>
            <w:noProof/>
          </w:rPr>
          <w:t>II.</w:t>
        </w:r>
        <w:r w:rsidR="00264607">
          <w:rPr>
            <w:rFonts w:asciiTheme="minorHAnsi" w:eastAsiaTheme="minorEastAsia" w:hAnsiTheme="minorHAnsi" w:cstheme="minorBidi"/>
            <w:noProof/>
            <w:sz w:val="22"/>
            <w:szCs w:val="22"/>
          </w:rPr>
          <w:tab/>
        </w:r>
        <w:r w:rsidR="00264607" w:rsidRPr="007F3634">
          <w:rPr>
            <w:rStyle w:val="Hyperlink"/>
            <w:noProof/>
          </w:rPr>
          <w:t>ARGUMENT</w:t>
        </w:r>
        <w:r w:rsidR="00264607">
          <w:rPr>
            <w:noProof/>
            <w:webHidden/>
          </w:rPr>
          <w:tab/>
        </w:r>
        <w:r>
          <w:rPr>
            <w:noProof/>
            <w:webHidden/>
          </w:rPr>
          <w:fldChar w:fldCharType="begin"/>
        </w:r>
        <w:r w:rsidR="00264607">
          <w:rPr>
            <w:noProof/>
            <w:webHidden/>
          </w:rPr>
          <w:instrText xml:space="preserve"> PAGEREF _Toc254695645 \h </w:instrText>
        </w:r>
        <w:r>
          <w:rPr>
            <w:noProof/>
            <w:webHidden/>
          </w:rPr>
        </w:r>
        <w:r>
          <w:rPr>
            <w:noProof/>
            <w:webHidden/>
          </w:rPr>
          <w:fldChar w:fldCharType="separate"/>
        </w:r>
        <w:r w:rsidR="00E100EF">
          <w:rPr>
            <w:noProof/>
            <w:webHidden/>
          </w:rPr>
          <w:t>3</w:t>
        </w:r>
        <w:r>
          <w:rPr>
            <w:noProof/>
            <w:webHidden/>
          </w:rPr>
          <w:fldChar w:fldCharType="end"/>
        </w:r>
      </w:hyperlink>
    </w:p>
    <w:p w:rsidR="00264607" w:rsidRPr="00264607" w:rsidRDefault="00D21767">
      <w:pPr>
        <w:pStyle w:val="TOC2"/>
        <w:rPr>
          <w:rFonts w:ascii="Arial" w:eastAsiaTheme="minorEastAsia" w:hAnsi="Arial" w:cs="Arial"/>
          <w:noProof/>
          <w:sz w:val="24"/>
          <w:szCs w:val="24"/>
        </w:rPr>
      </w:pPr>
      <w:hyperlink w:anchor="_Toc254695646" w:history="1">
        <w:r w:rsidR="00264607" w:rsidRPr="00264607">
          <w:rPr>
            <w:rStyle w:val="Hyperlink"/>
            <w:rFonts w:ascii="Arial" w:hAnsi="Arial" w:cs="Arial"/>
            <w:noProof/>
            <w:sz w:val="24"/>
            <w:szCs w:val="24"/>
          </w:rPr>
          <w:t>A.</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Cottonwood Has Not Demonstrated a Justiciable Interest.</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_Toc254695646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3</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47" w:history="1">
        <w:r w:rsidR="00264607" w:rsidRPr="00264607">
          <w:rPr>
            <w:rStyle w:val="Hyperlink"/>
            <w:rFonts w:ascii="Arial" w:hAnsi="Arial" w:cs="Arial"/>
            <w:noProof/>
            <w:sz w:val="24"/>
            <w:szCs w:val="24"/>
          </w:rPr>
          <w:t>1.</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Background</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_Toc254695647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3</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48" w:history="1">
        <w:r w:rsidR="00264607" w:rsidRPr="00264607">
          <w:rPr>
            <w:rStyle w:val="Hyperlink"/>
            <w:rFonts w:ascii="Arial" w:hAnsi="Arial" w:cs="Arial"/>
            <w:noProof/>
            <w:sz w:val="24"/>
            <w:szCs w:val="24"/>
          </w:rPr>
          <w:t>2.</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The PPR and CGS Riders are Retail Tariffs.</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_Toc254695648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5</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49" w:history="1">
        <w:r w:rsidR="00264607" w:rsidRPr="00264607">
          <w:rPr>
            <w:rStyle w:val="Hyperlink"/>
            <w:rFonts w:ascii="Arial" w:hAnsi="Arial" w:cs="Arial"/>
            <w:noProof/>
            <w:sz w:val="24"/>
            <w:szCs w:val="24"/>
          </w:rPr>
          <w:t>3.</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 xml:space="preserve">Opening the Door to Interventions by Other Wholesale Suppliers </w:t>
        </w:r>
        <w:r w:rsidR="00264607">
          <w:rPr>
            <w:rStyle w:val="Hyperlink"/>
            <w:rFonts w:ascii="Arial" w:hAnsi="Arial" w:cs="Arial"/>
            <w:noProof/>
            <w:sz w:val="24"/>
            <w:szCs w:val="24"/>
          </w:rPr>
          <w:br/>
        </w:r>
        <w:r w:rsidR="00264607" w:rsidRPr="00264607">
          <w:rPr>
            <w:rStyle w:val="Hyperlink"/>
            <w:rFonts w:ascii="Arial" w:hAnsi="Arial" w:cs="Arial"/>
            <w:noProof/>
            <w:sz w:val="24"/>
            <w:szCs w:val="24"/>
          </w:rPr>
          <w:t>Would Be Bad Policy.</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_Toc254695649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7</w:t>
        </w:r>
        <w:r w:rsidRPr="00264607">
          <w:rPr>
            <w:rFonts w:ascii="Arial" w:hAnsi="Arial" w:cs="Arial"/>
            <w:noProof/>
            <w:webHidden/>
            <w:sz w:val="24"/>
            <w:szCs w:val="24"/>
          </w:rPr>
          <w:fldChar w:fldCharType="end"/>
        </w:r>
      </w:hyperlink>
    </w:p>
    <w:p w:rsidR="00264607" w:rsidRPr="00264607" w:rsidRDefault="00D21767">
      <w:pPr>
        <w:pStyle w:val="TOC2"/>
        <w:rPr>
          <w:rFonts w:ascii="Arial" w:eastAsiaTheme="minorEastAsia" w:hAnsi="Arial" w:cs="Arial"/>
          <w:noProof/>
          <w:sz w:val="24"/>
          <w:szCs w:val="24"/>
        </w:rPr>
      </w:pPr>
      <w:hyperlink w:anchor="_Toc254695650" w:history="1">
        <w:r w:rsidR="00264607" w:rsidRPr="00264607">
          <w:rPr>
            <w:rStyle w:val="Hyperlink"/>
            <w:rFonts w:ascii="Arial" w:hAnsi="Arial" w:cs="Arial"/>
            <w:noProof/>
            <w:sz w:val="24"/>
            <w:szCs w:val="24"/>
          </w:rPr>
          <w:t>B.</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Commission Precedent Precludes Cottonwood’s Intervention.</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_Toc254695650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8</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51" w:history="1">
        <w:r w:rsidR="00264607" w:rsidRPr="00264607">
          <w:rPr>
            <w:rStyle w:val="Hyperlink"/>
            <w:rFonts w:ascii="Arial" w:hAnsi="Arial" w:cs="Arial"/>
            <w:noProof/>
            <w:sz w:val="24"/>
            <w:szCs w:val="24"/>
          </w:rPr>
          <w:t>1.</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Docket No. 34298</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_Toc254695651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8</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52" w:history="1">
        <w:r w:rsidR="00264607" w:rsidRPr="00264607">
          <w:rPr>
            <w:rStyle w:val="Hyperlink"/>
            <w:rFonts w:ascii="Arial" w:hAnsi="Arial" w:cs="Arial"/>
            <w:noProof/>
            <w:sz w:val="24"/>
            <w:szCs w:val="24"/>
          </w:rPr>
          <w:t>2.</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Docket No. 36931</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_Toc254695652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9</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53" w:history="1">
        <w:r w:rsidR="00264607" w:rsidRPr="00264607">
          <w:rPr>
            <w:rStyle w:val="Hyperlink"/>
            <w:rFonts w:ascii="Arial" w:hAnsi="Arial" w:cs="Arial"/>
            <w:noProof/>
            <w:sz w:val="24"/>
            <w:szCs w:val="24"/>
          </w:rPr>
          <w:t>3.</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Docket No. 23714</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_Toc254695653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9</w:t>
        </w:r>
        <w:r w:rsidRPr="00264607">
          <w:rPr>
            <w:rFonts w:ascii="Arial" w:hAnsi="Arial" w:cs="Arial"/>
            <w:noProof/>
            <w:webHidden/>
            <w:sz w:val="24"/>
            <w:szCs w:val="24"/>
          </w:rPr>
          <w:fldChar w:fldCharType="end"/>
        </w:r>
      </w:hyperlink>
    </w:p>
    <w:p w:rsidR="00264607" w:rsidRPr="00264607" w:rsidRDefault="00D21767">
      <w:pPr>
        <w:pStyle w:val="TOC3"/>
        <w:rPr>
          <w:rFonts w:ascii="Arial" w:eastAsiaTheme="minorEastAsia" w:hAnsi="Arial" w:cs="Arial"/>
          <w:noProof/>
          <w:sz w:val="24"/>
          <w:szCs w:val="24"/>
        </w:rPr>
      </w:pPr>
      <w:hyperlink w:anchor="_Toc254695654" w:history="1">
        <w:r w:rsidR="00264607" w:rsidRPr="00264607">
          <w:rPr>
            <w:rStyle w:val="Hyperlink"/>
            <w:rFonts w:ascii="Arial" w:hAnsi="Arial" w:cs="Arial"/>
            <w:noProof/>
            <w:sz w:val="24"/>
            <w:szCs w:val="24"/>
          </w:rPr>
          <w:t>4.</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Docket No. 34800</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_Toc254695654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11</w:t>
        </w:r>
        <w:r w:rsidRPr="00264607">
          <w:rPr>
            <w:rFonts w:ascii="Arial" w:hAnsi="Arial" w:cs="Arial"/>
            <w:noProof/>
            <w:webHidden/>
            <w:sz w:val="24"/>
            <w:szCs w:val="24"/>
          </w:rPr>
          <w:fldChar w:fldCharType="end"/>
        </w:r>
      </w:hyperlink>
    </w:p>
    <w:p w:rsidR="00264607" w:rsidRPr="00264607" w:rsidRDefault="00D21767">
      <w:pPr>
        <w:pStyle w:val="TOC2"/>
        <w:rPr>
          <w:rFonts w:ascii="Arial" w:eastAsiaTheme="minorEastAsia" w:hAnsi="Arial" w:cs="Arial"/>
          <w:noProof/>
          <w:sz w:val="24"/>
          <w:szCs w:val="24"/>
        </w:rPr>
      </w:pPr>
      <w:hyperlink w:anchor="_Toc254695655" w:history="1">
        <w:r w:rsidR="00264607" w:rsidRPr="00264607">
          <w:rPr>
            <w:rStyle w:val="Hyperlink"/>
            <w:rFonts w:ascii="Arial" w:hAnsi="Arial" w:cs="Arial"/>
            <w:noProof/>
            <w:sz w:val="24"/>
            <w:szCs w:val="24"/>
          </w:rPr>
          <w:t>C.</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 xml:space="preserve">Commission Precedent Cited by Cottonwood Does Not </w:t>
        </w:r>
        <w:r w:rsidR="00264607">
          <w:rPr>
            <w:rStyle w:val="Hyperlink"/>
            <w:rFonts w:ascii="Arial" w:hAnsi="Arial" w:cs="Arial"/>
            <w:noProof/>
            <w:sz w:val="24"/>
            <w:szCs w:val="24"/>
          </w:rPr>
          <w:br/>
        </w:r>
        <w:r w:rsidR="00264607" w:rsidRPr="00264607">
          <w:rPr>
            <w:rStyle w:val="Hyperlink"/>
            <w:rFonts w:ascii="Arial" w:hAnsi="Arial" w:cs="Arial"/>
            <w:noProof/>
            <w:sz w:val="24"/>
            <w:szCs w:val="24"/>
          </w:rPr>
          <w:t>Support Cottonwood’s Intervention.</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_Toc254695655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12</w:t>
        </w:r>
        <w:r w:rsidRPr="00264607">
          <w:rPr>
            <w:rFonts w:ascii="Arial" w:hAnsi="Arial" w:cs="Arial"/>
            <w:noProof/>
            <w:webHidden/>
            <w:sz w:val="24"/>
            <w:szCs w:val="24"/>
          </w:rPr>
          <w:fldChar w:fldCharType="end"/>
        </w:r>
      </w:hyperlink>
    </w:p>
    <w:p w:rsidR="00264607" w:rsidRDefault="00D21767">
      <w:pPr>
        <w:pStyle w:val="TOC2"/>
        <w:rPr>
          <w:rStyle w:val="Hyperlink"/>
          <w:rFonts w:ascii="Arial" w:hAnsi="Arial" w:cs="Arial"/>
          <w:noProof/>
          <w:sz w:val="24"/>
          <w:szCs w:val="24"/>
        </w:rPr>
      </w:pPr>
      <w:hyperlink w:anchor="_Toc254695656" w:history="1">
        <w:r w:rsidR="00264607" w:rsidRPr="00264607">
          <w:rPr>
            <w:rStyle w:val="Hyperlink"/>
            <w:rFonts w:ascii="Arial" w:hAnsi="Arial" w:cs="Arial"/>
            <w:noProof/>
            <w:sz w:val="24"/>
            <w:szCs w:val="24"/>
          </w:rPr>
          <w:t>D.</w:t>
        </w:r>
        <w:r w:rsidR="00264607" w:rsidRPr="00264607">
          <w:rPr>
            <w:rFonts w:ascii="Arial" w:eastAsiaTheme="minorEastAsia" w:hAnsi="Arial" w:cs="Arial"/>
            <w:noProof/>
            <w:sz w:val="24"/>
            <w:szCs w:val="24"/>
          </w:rPr>
          <w:tab/>
        </w:r>
        <w:r w:rsidR="00264607" w:rsidRPr="00264607">
          <w:rPr>
            <w:rStyle w:val="Hyperlink"/>
            <w:rFonts w:ascii="Arial" w:hAnsi="Arial" w:cs="Arial"/>
            <w:noProof/>
            <w:sz w:val="24"/>
            <w:szCs w:val="24"/>
          </w:rPr>
          <w:t>The Commission Can Limit the Scope of an Intervention.</w:t>
        </w:r>
        <w:r w:rsidR="00264607" w:rsidRPr="00264607">
          <w:rPr>
            <w:rFonts w:ascii="Arial" w:hAnsi="Arial" w:cs="Arial"/>
            <w:noProof/>
            <w:webHidden/>
            <w:sz w:val="24"/>
            <w:szCs w:val="24"/>
          </w:rPr>
          <w:tab/>
        </w:r>
        <w:r w:rsidRPr="00264607">
          <w:rPr>
            <w:rFonts w:ascii="Arial" w:hAnsi="Arial" w:cs="Arial"/>
            <w:noProof/>
            <w:webHidden/>
            <w:sz w:val="24"/>
            <w:szCs w:val="24"/>
          </w:rPr>
          <w:fldChar w:fldCharType="begin"/>
        </w:r>
        <w:r w:rsidR="00264607" w:rsidRPr="00264607">
          <w:rPr>
            <w:rFonts w:ascii="Arial" w:hAnsi="Arial" w:cs="Arial"/>
            <w:noProof/>
            <w:webHidden/>
            <w:sz w:val="24"/>
            <w:szCs w:val="24"/>
          </w:rPr>
          <w:instrText xml:space="preserve"> PAGEREF _Toc254695656 \h </w:instrText>
        </w:r>
        <w:r w:rsidRPr="00264607">
          <w:rPr>
            <w:rFonts w:ascii="Arial" w:hAnsi="Arial" w:cs="Arial"/>
            <w:noProof/>
            <w:webHidden/>
            <w:sz w:val="24"/>
            <w:szCs w:val="24"/>
          </w:rPr>
        </w:r>
        <w:r w:rsidRPr="00264607">
          <w:rPr>
            <w:rFonts w:ascii="Arial" w:hAnsi="Arial" w:cs="Arial"/>
            <w:noProof/>
            <w:webHidden/>
            <w:sz w:val="24"/>
            <w:szCs w:val="24"/>
          </w:rPr>
          <w:fldChar w:fldCharType="separate"/>
        </w:r>
        <w:r w:rsidR="00E100EF">
          <w:rPr>
            <w:rFonts w:ascii="Arial" w:hAnsi="Arial" w:cs="Arial"/>
            <w:noProof/>
            <w:webHidden/>
            <w:sz w:val="24"/>
            <w:szCs w:val="24"/>
          </w:rPr>
          <w:t>13</w:t>
        </w:r>
        <w:r w:rsidRPr="00264607">
          <w:rPr>
            <w:rFonts w:ascii="Arial" w:hAnsi="Arial" w:cs="Arial"/>
            <w:noProof/>
            <w:webHidden/>
            <w:sz w:val="24"/>
            <w:szCs w:val="24"/>
          </w:rPr>
          <w:fldChar w:fldCharType="end"/>
        </w:r>
      </w:hyperlink>
    </w:p>
    <w:p w:rsidR="00264607" w:rsidRPr="00264607" w:rsidRDefault="00264607" w:rsidP="00264607">
      <w:pPr>
        <w:spacing w:line="72" w:lineRule="auto"/>
        <w:rPr>
          <w:rFonts w:eastAsiaTheme="minorEastAsia"/>
          <w:noProof/>
        </w:rPr>
      </w:pPr>
    </w:p>
    <w:p w:rsidR="00264607" w:rsidRDefault="00D21767">
      <w:pPr>
        <w:pStyle w:val="TOC1"/>
        <w:rPr>
          <w:rFonts w:asciiTheme="minorHAnsi" w:eastAsiaTheme="minorEastAsia" w:hAnsiTheme="minorHAnsi" w:cstheme="minorBidi"/>
          <w:noProof/>
          <w:sz w:val="22"/>
          <w:szCs w:val="22"/>
        </w:rPr>
      </w:pPr>
      <w:hyperlink w:anchor="_Toc254695657" w:history="1">
        <w:r w:rsidR="00264607" w:rsidRPr="007F3634">
          <w:rPr>
            <w:rStyle w:val="Hyperlink"/>
            <w:noProof/>
          </w:rPr>
          <w:t>III.</w:t>
        </w:r>
        <w:r w:rsidR="00264607">
          <w:rPr>
            <w:rFonts w:asciiTheme="minorHAnsi" w:eastAsiaTheme="minorEastAsia" w:hAnsiTheme="minorHAnsi" w:cstheme="minorBidi"/>
            <w:noProof/>
            <w:sz w:val="22"/>
            <w:szCs w:val="22"/>
          </w:rPr>
          <w:tab/>
        </w:r>
        <w:r w:rsidR="00264607" w:rsidRPr="007F3634">
          <w:rPr>
            <w:rStyle w:val="Hyperlink"/>
            <w:noProof/>
          </w:rPr>
          <w:t>RELIEF REQUESTED</w:t>
        </w:r>
        <w:r w:rsidR="00264607">
          <w:rPr>
            <w:noProof/>
            <w:webHidden/>
          </w:rPr>
          <w:tab/>
        </w:r>
        <w:r>
          <w:rPr>
            <w:noProof/>
            <w:webHidden/>
          </w:rPr>
          <w:fldChar w:fldCharType="begin"/>
        </w:r>
        <w:r w:rsidR="00264607">
          <w:rPr>
            <w:noProof/>
            <w:webHidden/>
          </w:rPr>
          <w:instrText xml:space="preserve"> PAGEREF _Toc254695657 \h </w:instrText>
        </w:r>
        <w:r>
          <w:rPr>
            <w:noProof/>
            <w:webHidden/>
          </w:rPr>
        </w:r>
        <w:r>
          <w:rPr>
            <w:noProof/>
            <w:webHidden/>
          </w:rPr>
          <w:fldChar w:fldCharType="separate"/>
        </w:r>
        <w:r w:rsidR="00E100EF">
          <w:rPr>
            <w:noProof/>
            <w:webHidden/>
          </w:rPr>
          <w:t>14</w:t>
        </w:r>
        <w:r>
          <w:rPr>
            <w:noProof/>
            <w:webHidden/>
          </w:rPr>
          <w:fldChar w:fldCharType="end"/>
        </w:r>
      </w:hyperlink>
    </w:p>
    <w:p w:rsidR="006B20A4" w:rsidRDefault="00D21767" w:rsidP="00D45CF6">
      <w:pPr>
        <w:pStyle w:val="Title"/>
        <w:spacing w:after="0" w:line="240" w:lineRule="auto"/>
        <w:rPr>
          <w:rFonts w:ascii="Arial" w:hAnsi="Arial" w:cs="Arial"/>
        </w:rPr>
      </w:pPr>
      <w:r>
        <w:rPr>
          <w:rFonts w:ascii="Arial" w:hAnsi="Arial" w:cs="Arial"/>
          <w:b w:val="0"/>
          <w:bCs w:val="0"/>
        </w:rPr>
        <w:fldChar w:fldCharType="end"/>
      </w:r>
      <w:r w:rsidR="008B57B3">
        <w:rPr>
          <w:rFonts w:ascii="Arial" w:hAnsi="Arial" w:cs="Arial"/>
        </w:rPr>
        <w:br w:type="page"/>
      </w:r>
      <w:r w:rsidR="006B20A4">
        <w:rPr>
          <w:rFonts w:ascii="Arial" w:hAnsi="Arial" w:cs="Arial"/>
        </w:rPr>
        <w:lastRenderedPageBreak/>
        <w:t xml:space="preserve">PUCT </w:t>
      </w:r>
      <w:r w:rsidR="006B20A4" w:rsidRPr="00010500">
        <w:rPr>
          <w:rFonts w:ascii="Arial" w:hAnsi="Arial" w:cs="Arial"/>
        </w:rPr>
        <w:t xml:space="preserve">DOCKET NO. </w:t>
      </w:r>
      <w:r w:rsidR="006B20A4">
        <w:rPr>
          <w:rFonts w:ascii="Arial" w:hAnsi="Arial" w:cs="Arial"/>
        </w:rPr>
        <w:t>37744</w:t>
      </w:r>
    </w:p>
    <w:p w:rsidR="00577DCF" w:rsidRDefault="00577DCF" w:rsidP="00D45CF6">
      <w:pPr>
        <w:pStyle w:val="Title"/>
        <w:spacing w:after="0" w:line="240" w:lineRule="auto"/>
        <w:rPr>
          <w:rFonts w:ascii="Arial" w:hAnsi="Arial" w:cs="Arial"/>
        </w:rPr>
      </w:pPr>
      <w:r>
        <w:rPr>
          <w:rFonts w:ascii="Arial" w:hAnsi="Arial" w:cs="Arial"/>
        </w:rPr>
        <w:t>SOAH DOCKET NO. 473-10-1962</w:t>
      </w:r>
    </w:p>
    <w:p w:rsidR="00DC2646" w:rsidRDefault="00DC2646">
      <w:pPr>
        <w:spacing w:line="360" w:lineRule="auto"/>
        <w:jc w:val="center"/>
        <w:rPr>
          <w:rFonts w:ascii="Arial" w:hAnsi="Arial" w:cs="Arial"/>
          <w:b/>
          <w:bCs/>
        </w:rPr>
      </w:pPr>
    </w:p>
    <w:tbl>
      <w:tblPr>
        <w:tblW w:w="0" w:type="auto"/>
        <w:tblLook w:val="01E0"/>
      </w:tblPr>
      <w:tblGrid>
        <w:gridCol w:w="4468"/>
        <w:gridCol w:w="748"/>
        <w:gridCol w:w="4360"/>
      </w:tblGrid>
      <w:tr w:rsidR="00DC2646" w:rsidTr="00577DCF">
        <w:trPr>
          <w:trHeight w:val="1089"/>
        </w:trPr>
        <w:tc>
          <w:tcPr>
            <w:tcW w:w="4878" w:type="dxa"/>
          </w:tcPr>
          <w:p w:rsidR="00DC2646" w:rsidRPr="00025D5E" w:rsidRDefault="00DC2646" w:rsidP="00D45CF6">
            <w:pPr>
              <w:spacing w:after="0" w:line="240" w:lineRule="auto"/>
              <w:rPr>
                <w:rFonts w:ascii="Arial" w:hAnsi="Arial" w:cs="Arial"/>
                <w:b/>
                <w:bCs/>
              </w:rPr>
            </w:pPr>
            <w:r w:rsidRPr="00025D5E">
              <w:rPr>
                <w:rFonts w:ascii="Arial" w:hAnsi="Arial" w:cs="Arial"/>
                <w:b/>
                <w:bCs/>
              </w:rPr>
              <w:t xml:space="preserve">APPLICATION OF ENTERGY TEXAS, INC. FOR AUTHORITY TO CHANGE RATES </w:t>
            </w:r>
            <w:smartTag w:uri="urn:schemas-microsoft-com:office:smarttags" w:element="stockticker">
              <w:r w:rsidRPr="00025D5E">
                <w:rPr>
                  <w:rFonts w:ascii="Arial" w:hAnsi="Arial" w:cs="Arial"/>
                  <w:b/>
                  <w:bCs/>
                </w:rPr>
                <w:t>AND</w:t>
              </w:r>
            </w:smartTag>
            <w:r w:rsidRPr="00025D5E">
              <w:rPr>
                <w:rFonts w:ascii="Arial" w:hAnsi="Arial" w:cs="Arial"/>
                <w:b/>
                <w:bCs/>
              </w:rPr>
              <w:t xml:space="preserve"> TO RECONCILE </w:t>
            </w:r>
            <w:smartTag w:uri="urn:schemas-microsoft-com:office:smarttags" w:element="stockticker">
              <w:r w:rsidRPr="00025D5E">
                <w:rPr>
                  <w:rFonts w:ascii="Arial" w:hAnsi="Arial" w:cs="Arial"/>
                  <w:b/>
                  <w:bCs/>
                </w:rPr>
                <w:t>FUEL</w:t>
              </w:r>
            </w:smartTag>
            <w:r w:rsidRPr="00025D5E">
              <w:rPr>
                <w:rFonts w:ascii="Arial" w:hAnsi="Arial" w:cs="Arial"/>
                <w:b/>
                <w:bCs/>
              </w:rPr>
              <w:t xml:space="preserve"> COSTS</w:t>
            </w:r>
          </w:p>
        </w:tc>
        <w:tc>
          <w:tcPr>
            <w:tcW w:w="810" w:type="dxa"/>
          </w:tcPr>
          <w:p w:rsidR="00DC2646" w:rsidRPr="00025D5E" w:rsidRDefault="00DC2646" w:rsidP="00D45CF6">
            <w:pPr>
              <w:spacing w:after="0" w:line="240" w:lineRule="auto"/>
              <w:jc w:val="center"/>
              <w:rPr>
                <w:rFonts w:ascii="Arial" w:hAnsi="Arial" w:cs="Arial"/>
                <w:b/>
                <w:bCs/>
              </w:rPr>
            </w:pPr>
            <w:r w:rsidRPr="00025D5E">
              <w:rPr>
                <w:rFonts w:ascii="Arial" w:hAnsi="Arial" w:cs="Arial"/>
                <w:b/>
                <w:bCs/>
              </w:rPr>
              <w:t>§</w:t>
            </w:r>
          </w:p>
          <w:p w:rsidR="00DC2646" w:rsidRPr="00025D5E" w:rsidRDefault="00DC2646" w:rsidP="00D45CF6">
            <w:pPr>
              <w:spacing w:after="0" w:line="240" w:lineRule="auto"/>
              <w:jc w:val="center"/>
              <w:rPr>
                <w:rFonts w:ascii="Arial" w:hAnsi="Arial" w:cs="Arial"/>
                <w:b/>
                <w:bCs/>
              </w:rPr>
            </w:pPr>
            <w:r w:rsidRPr="00025D5E">
              <w:rPr>
                <w:rFonts w:ascii="Arial" w:hAnsi="Arial" w:cs="Arial"/>
                <w:b/>
                <w:bCs/>
              </w:rPr>
              <w:t>§</w:t>
            </w:r>
          </w:p>
          <w:p w:rsidR="00DC2646" w:rsidRDefault="00DC2646" w:rsidP="00D45CF6">
            <w:pPr>
              <w:spacing w:after="0" w:line="240" w:lineRule="auto"/>
              <w:jc w:val="center"/>
              <w:rPr>
                <w:rFonts w:ascii="Arial" w:hAnsi="Arial" w:cs="Arial"/>
                <w:b/>
                <w:bCs/>
              </w:rPr>
            </w:pPr>
            <w:r w:rsidRPr="00025D5E">
              <w:rPr>
                <w:rFonts w:ascii="Arial" w:hAnsi="Arial" w:cs="Arial"/>
                <w:b/>
                <w:bCs/>
              </w:rPr>
              <w:t>§</w:t>
            </w:r>
          </w:p>
          <w:p w:rsidR="00D45CF6" w:rsidRPr="00025D5E" w:rsidRDefault="00D45CF6" w:rsidP="00D45CF6">
            <w:pPr>
              <w:spacing w:after="0" w:line="240" w:lineRule="auto"/>
              <w:jc w:val="center"/>
              <w:rPr>
                <w:rFonts w:ascii="Arial" w:hAnsi="Arial" w:cs="Arial"/>
                <w:b/>
                <w:bCs/>
              </w:rPr>
            </w:pPr>
            <w:r w:rsidRPr="00025D5E">
              <w:rPr>
                <w:rFonts w:ascii="Arial" w:hAnsi="Arial" w:cs="Arial"/>
                <w:b/>
                <w:bCs/>
              </w:rPr>
              <w:t>§</w:t>
            </w:r>
          </w:p>
        </w:tc>
        <w:tc>
          <w:tcPr>
            <w:tcW w:w="4752" w:type="dxa"/>
          </w:tcPr>
          <w:p w:rsidR="00DC2646" w:rsidRPr="00025D5E" w:rsidRDefault="006B20A4" w:rsidP="00E21D1A">
            <w:pPr>
              <w:ind w:left="55"/>
              <w:jc w:val="center"/>
              <w:rPr>
                <w:rFonts w:ascii="Arial" w:hAnsi="Arial" w:cs="Arial"/>
                <w:b/>
                <w:bCs/>
              </w:rPr>
            </w:pPr>
            <w:r>
              <w:rPr>
                <w:rFonts w:ascii="Arial" w:hAnsi="Arial" w:cs="Arial"/>
                <w:b/>
                <w:bCs/>
              </w:rPr>
              <w:t>PUBLIC UTILITY</w:t>
            </w:r>
            <w:r w:rsidR="006A5E7C">
              <w:rPr>
                <w:rFonts w:ascii="Arial" w:hAnsi="Arial" w:cs="Arial"/>
                <w:b/>
                <w:bCs/>
              </w:rPr>
              <w:t xml:space="preserve"> COMMISSION</w:t>
            </w:r>
            <w:r w:rsidR="00E21D1A">
              <w:rPr>
                <w:rFonts w:ascii="Arial" w:hAnsi="Arial" w:cs="Arial"/>
                <w:b/>
                <w:bCs/>
              </w:rPr>
              <w:br/>
            </w:r>
            <w:r w:rsidR="00E21D1A">
              <w:rPr>
                <w:rFonts w:ascii="Arial" w:hAnsi="Arial" w:cs="Arial"/>
                <w:b/>
                <w:bCs/>
              </w:rPr>
              <w:br/>
            </w:r>
            <w:r>
              <w:rPr>
                <w:rFonts w:ascii="Arial" w:hAnsi="Arial" w:cs="Arial"/>
                <w:b/>
                <w:bCs/>
              </w:rPr>
              <w:t>OF TEXAS</w:t>
            </w:r>
          </w:p>
        </w:tc>
      </w:tr>
    </w:tbl>
    <w:p w:rsidR="00DC2646" w:rsidRPr="00010500" w:rsidRDefault="00DC2646">
      <w:pPr>
        <w:jc w:val="center"/>
        <w:rPr>
          <w:rFonts w:ascii="Arial" w:hAnsi="Arial" w:cs="Arial"/>
          <w:b/>
          <w:bCs/>
        </w:rPr>
      </w:pPr>
    </w:p>
    <w:p w:rsidR="00162BC8" w:rsidRDefault="00CE56FD" w:rsidP="00E21D1A">
      <w:pPr>
        <w:spacing w:after="0" w:line="240" w:lineRule="auto"/>
        <w:jc w:val="center"/>
        <w:rPr>
          <w:rFonts w:ascii="Arial" w:hAnsi="Arial" w:cs="Arial"/>
          <w:b/>
          <w:bCs/>
        </w:rPr>
      </w:pPr>
      <w:r w:rsidRPr="006B20A4">
        <w:rPr>
          <w:rFonts w:ascii="Arial" w:hAnsi="Arial" w:cs="Arial"/>
          <w:b/>
          <w:bCs/>
        </w:rPr>
        <w:t xml:space="preserve">RESPONSE OF </w:t>
      </w:r>
      <w:r w:rsidR="00DC2646" w:rsidRPr="006B20A4">
        <w:rPr>
          <w:rFonts w:ascii="Arial" w:hAnsi="Arial" w:cs="Arial"/>
          <w:b/>
          <w:bCs/>
        </w:rPr>
        <w:t>ENTE</w:t>
      </w:r>
      <w:r w:rsidRPr="006B20A4">
        <w:rPr>
          <w:rFonts w:ascii="Arial" w:hAnsi="Arial" w:cs="Arial"/>
          <w:b/>
          <w:bCs/>
        </w:rPr>
        <w:t>RGY TEXAS, INC.</w:t>
      </w:r>
      <w:r w:rsidR="00162BC8">
        <w:rPr>
          <w:rFonts w:ascii="Arial" w:hAnsi="Arial" w:cs="Arial"/>
          <w:b/>
          <w:bCs/>
        </w:rPr>
        <w:t xml:space="preserve"> </w:t>
      </w:r>
      <w:r w:rsidR="001403CF">
        <w:rPr>
          <w:rFonts w:ascii="Arial" w:hAnsi="Arial" w:cs="Arial"/>
          <w:b/>
          <w:bCs/>
        </w:rPr>
        <w:t>TO</w:t>
      </w:r>
    </w:p>
    <w:p w:rsidR="00162BC8" w:rsidRDefault="00CE56FD" w:rsidP="00E21D1A">
      <w:pPr>
        <w:spacing w:after="0" w:line="240" w:lineRule="auto"/>
        <w:jc w:val="center"/>
        <w:rPr>
          <w:rFonts w:ascii="Arial" w:hAnsi="Arial" w:cs="Arial"/>
          <w:b/>
          <w:bCs/>
        </w:rPr>
      </w:pPr>
      <w:r w:rsidRPr="006B20A4">
        <w:rPr>
          <w:rFonts w:ascii="Arial" w:hAnsi="Arial" w:cs="Arial"/>
          <w:b/>
          <w:bCs/>
        </w:rPr>
        <w:t xml:space="preserve">APPEAL </w:t>
      </w:r>
      <w:r w:rsidR="000D727C" w:rsidRPr="006B20A4">
        <w:rPr>
          <w:rFonts w:ascii="Arial" w:hAnsi="Arial" w:cs="Arial"/>
          <w:b/>
          <w:bCs/>
        </w:rPr>
        <w:t>OF COTTONWOOD ENERGY COMPANY, L.P.</w:t>
      </w:r>
      <w:r w:rsidR="006B29B8">
        <w:rPr>
          <w:rFonts w:ascii="Arial" w:hAnsi="Arial" w:cs="Arial"/>
          <w:b/>
          <w:bCs/>
        </w:rPr>
        <w:t xml:space="preserve"> OF</w:t>
      </w:r>
    </w:p>
    <w:p w:rsidR="00162BC8" w:rsidRPr="00B23419" w:rsidRDefault="00CE56FD" w:rsidP="00B23419">
      <w:pPr>
        <w:pStyle w:val="Style"/>
        <w:rPr>
          <w:rFonts w:ascii="Arial" w:hAnsi="Arial" w:cs="Arial"/>
          <w:b/>
          <w:u w:val="single"/>
        </w:rPr>
      </w:pPr>
      <w:r w:rsidRPr="00B23419">
        <w:rPr>
          <w:rFonts w:ascii="Arial" w:hAnsi="Arial" w:cs="Arial"/>
          <w:b/>
        </w:rPr>
        <w:t>ORDER DENYING</w:t>
      </w:r>
      <w:r w:rsidR="000D727C" w:rsidRPr="00B23419">
        <w:rPr>
          <w:rFonts w:ascii="Arial" w:hAnsi="Arial" w:cs="Arial"/>
          <w:b/>
        </w:rPr>
        <w:t xml:space="preserve"> </w:t>
      </w:r>
      <w:r w:rsidRPr="00B23419">
        <w:rPr>
          <w:rFonts w:ascii="Arial" w:hAnsi="Arial" w:cs="Arial"/>
          <w:b/>
        </w:rPr>
        <w:t>INTERVENTION</w:t>
      </w:r>
      <w:r w:rsidR="00162BC8" w:rsidRPr="00B23419">
        <w:rPr>
          <w:rFonts w:ascii="Arial" w:hAnsi="Arial" w:cs="Arial"/>
          <w:b/>
        </w:rPr>
        <w:t xml:space="preserve"> OR, IN THE</w:t>
      </w:r>
      <w:r w:rsidR="006B29B8">
        <w:rPr>
          <w:rFonts w:ascii="Arial" w:hAnsi="Arial" w:cs="Arial"/>
          <w:b/>
        </w:rPr>
        <w:t xml:space="preserve"> </w:t>
      </w:r>
      <w:r w:rsidR="00162BC8" w:rsidRPr="00B23419">
        <w:rPr>
          <w:rFonts w:ascii="Arial" w:hAnsi="Arial" w:cs="Arial"/>
          <w:b/>
        </w:rPr>
        <w:t>ALTERNATIVE,</w:t>
      </w:r>
    </w:p>
    <w:p w:rsidR="00CE56FD" w:rsidRPr="00B23419" w:rsidRDefault="00162BC8" w:rsidP="00E21D1A">
      <w:pPr>
        <w:spacing w:after="0" w:line="240" w:lineRule="auto"/>
        <w:jc w:val="center"/>
        <w:rPr>
          <w:rFonts w:ascii="Arial" w:hAnsi="Arial" w:cs="Arial"/>
          <w:b/>
          <w:bCs/>
          <w:u w:val="single"/>
        </w:rPr>
      </w:pPr>
      <w:r w:rsidRPr="00B23419">
        <w:rPr>
          <w:rFonts w:ascii="Arial" w:hAnsi="Arial" w:cs="Arial"/>
          <w:b/>
          <w:bCs/>
          <w:u w:val="single"/>
        </w:rPr>
        <w:t>MOTION FOR RECONSIDERATION</w:t>
      </w:r>
      <w:r w:rsidR="00CE56FD" w:rsidRPr="00B23419">
        <w:rPr>
          <w:rFonts w:ascii="Arial" w:hAnsi="Arial" w:cs="Arial"/>
          <w:b/>
          <w:bCs/>
          <w:u w:val="single"/>
        </w:rPr>
        <w:t xml:space="preserve"> </w:t>
      </w:r>
    </w:p>
    <w:p w:rsidR="00162BC8" w:rsidRPr="00162BC8" w:rsidRDefault="00162BC8" w:rsidP="00162BC8">
      <w:pPr>
        <w:spacing w:after="0" w:line="240" w:lineRule="auto"/>
        <w:jc w:val="center"/>
        <w:rPr>
          <w:rFonts w:ascii="Arial" w:hAnsi="Arial" w:cs="Arial"/>
          <w:b/>
          <w:bCs/>
        </w:rPr>
      </w:pPr>
    </w:p>
    <w:p w:rsidR="00197053" w:rsidRDefault="0073368A" w:rsidP="00D45CF6">
      <w:pPr>
        <w:spacing w:after="0" w:line="480" w:lineRule="auto"/>
        <w:ind w:firstLine="749"/>
        <w:jc w:val="both"/>
        <w:rPr>
          <w:rFonts w:ascii="Arial" w:hAnsi="Arial" w:cs="Arial"/>
        </w:rPr>
      </w:pPr>
      <w:r w:rsidRPr="0073368A">
        <w:rPr>
          <w:rFonts w:ascii="Arial" w:hAnsi="Arial" w:cs="Arial"/>
        </w:rPr>
        <w:t xml:space="preserve">Entergy Texas, Inc. (ETI or the Company) files this </w:t>
      </w:r>
      <w:r w:rsidR="00ED7F58">
        <w:rPr>
          <w:rFonts w:ascii="Arial" w:hAnsi="Arial" w:cs="Arial"/>
        </w:rPr>
        <w:t>response</w:t>
      </w:r>
      <w:r w:rsidRPr="0073368A">
        <w:rPr>
          <w:rFonts w:ascii="Arial" w:hAnsi="Arial" w:cs="Arial"/>
        </w:rPr>
        <w:t xml:space="preserve"> </w:t>
      </w:r>
      <w:r w:rsidR="00CE56FD">
        <w:rPr>
          <w:rFonts w:ascii="Arial" w:hAnsi="Arial" w:cs="Arial"/>
        </w:rPr>
        <w:t xml:space="preserve">to the Appeal </w:t>
      </w:r>
      <w:r w:rsidR="000D727C">
        <w:rPr>
          <w:rFonts w:ascii="Arial" w:hAnsi="Arial" w:cs="Arial"/>
        </w:rPr>
        <w:t xml:space="preserve">of </w:t>
      </w:r>
      <w:r w:rsidR="000D727C" w:rsidRPr="0073368A">
        <w:rPr>
          <w:rFonts w:ascii="Arial" w:hAnsi="Arial" w:cs="Arial"/>
        </w:rPr>
        <w:t>Cottonwood Energy Company, L.P. (Cottonwood)</w:t>
      </w:r>
      <w:r w:rsidR="000D727C">
        <w:rPr>
          <w:rFonts w:ascii="Arial" w:hAnsi="Arial" w:cs="Arial"/>
        </w:rPr>
        <w:t xml:space="preserve"> </w:t>
      </w:r>
      <w:r w:rsidR="00CE56FD">
        <w:rPr>
          <w:rFonts w:ascii="Arial" w:hAnsi="Arial" w:cs="Arial"/>
        </w:rPr>
        <w:t>of Order Denying Intervention</w:t>
      </w:r>
      <w:r w:rsidR="00162BC8">
        <w:rPr>
          <w:rFonts w:ascii="Arial" w:hAnsi="Arial" w:cs="Arial"/>
        </w:rPr>
        <w:t>, or, in the Alternative, Motion for Reconsideration (Cottonwood Appeal)</w:t>
      </w:r>
      <w:r w:rsidRPr="0073368A">
        <w:rPr>
          <w:rFonts w:ascii="Arial" w:hAnsi="Arial" w:cs="Arial"/>
        </w:rPr>
        <w:t xml:space="preserve">.  </w:t>
      </w:r>
      <w:r w:rsidR="00162BC8">
        <w:rPr>
          <w:rFonts w:ascii="Arial" w:hAnsi="Arial" w:cs="Arial"/>
        </w:rPr>
        <w:t xml:space="preserve">The </w:t>
      </w:r>
      <w:r w:rsidR="00DA149F">
        <w:rPr>
          <w:rFonts w:ascii="Arial" w:hAnsi="Arial" w:cs="Arial"/>
        </w:rPr>
        <w:t xml:space="preserve">Cottonwood </w:t>
      </w:r>
      <w:r w:rsidR="00162BC8">
        <w:rPr>
          <w:rFonts w:ascii="Arial" w:hAnsi="Arial" w:cs="Arial"/>
        </w:rPr>
        <w:t>A</w:t>
      </w:r>
      <w:r w:rsidR="00DA149F">
        <w:rPr>
          <w:rFonts w:ascii="Arial" w:hAnsi="Arial" w:cs="Arial"/>
        </w:rPr>
        <w:t>ppeal should be denied because</w:t>
      </w:r>
      <w:r w:rsidR="003302C0">
        <w:rPr>
          <w:rFonts w:ascii="Arial" w:hAnsi="Arial" w:cs="Arial"/>
        </w:rPr>
        <w:t>, as the ALJs correctly determined,</w:t>
      </w:r>
      <w:r w:rsidR="00DA149F">
        <w:rPr>
          <w:rFonts w:ascii="Arial" w:hAnsi="Arial" w:cs="Arial"/>
        </w:rPr>
        <w:t xml:space="preserve"> </w:t>
      </w:r>
      <w:r w:rsidR="00DA149F" w:rsidRPr="00DA149F">
        <w:rPr>
          <w:rFonts w:ascii="Arial" w:hAnsi="Arial" w:cs="Arial"/>
        </w:rPr>
        <w:t>Cottonwood lacks standing to intervene in this docket.</w:t>
      </w:r>
      <w:r w:rsidR="003302C0">
        <w:rPr>
          <w:rFonts w:ascii="Arial" w:hAnsi="Arial" w:cs="Arial"/>
        </w:rPr>
        <w:t xml:space="preserve">  </w:t>
      </w:r>
    </w:p>
    <w:p w:rsidR="00E75D14" w:rsidRDefault="003302C0" w:rsidP="00D45CF6">
      <w:pPr>
        <w:spacing w:after="0" w:line="480" w:lineRule="auto"/>
        <w:ind w:firstLine="749"/>
        <w:jc w:val="both"/>
        <w:rPr>
          <w:rFonts w:ascii="Arial" w:hAnsi="Arial" w:cs="Arial"/>
        </w:rPr>
      </w:pPr>
      <w:r>
        <w:rPr>
          <w:rFonts w:ascii="Arial" w:hAnsi="Arial" w:cs="Arial"/>
        </w:rPr>
        <w:t xml:space="preserve">Cottonwood is not a retail customer of ETI but is </w:t>
      </w:r>
      <w:r w:rsidR="00976168">
        <w:rPr>
          <w:rFonts w:ascii="Arial" w:hAnsi="Arial" w:cs="Arial"/>
        </w:rPr>
        <w:t>instead</w:t>
      </w:r>
      <w:r>
        <w:rPr>
          <w:rFonts w:ascii="Arial" w:hAnsi="Arial" w:cs="Arial"/>
        </w:rPr>
        <w:t xml:space="preserve"> a wholesale power supplier that would like to sell power to ETI</w:t>
      </w:r>
      <w:r w:rsidR="009377EB">
        <w:rPr>
          <w:rFonts w:ascii="Arial" w:hAnsi="Arial" w:cs="Arial"/>
        </w:rPr>
        <w:t xml:space="preserve">.  </w:t>
      </w:r>
      <w:r w:rsidR="009377EB" w:rsidRPr="00DA149F">
        <w:rPr>
          <w:rFonts w:ascii="Arial" w:hAnsi="Arial" w:cs="Arial"/>
        </w:rPr>
        <w:t xml:space="preserve">In 2009, </w:t>
      </w:r>
      <w:smartTag w:uri="urn:schemas-microsoft-com:office:smarttags" w:element="stockticker">
        <w:r w:rsidR="009377EB" w:rsidRPr="00DA149F">
          <w:rPr>
            <w:rFonts w:ascii="Arial" w:hAnsi="Arial" w:cs="Arial"/>
          </w:rPr>
          <w:t>Cottonwood</w:t>
        </w:r>
      </w:smartTag>
      <w:r w:rsidR="009377EB" w:rsidRPr="00DA149F">
        <w:rPr>
          <w:rFonts w:ascii="Arial" w:hAnsi="Arial" w:cs="Arial"/>
        </w:rPr>
        <w:t xml:space="preserve"> similarly sought to intervene in an ETI proceeding on the basis that it would be affected by the </w:t>
      </w:r>
      <w:r w:rsidR="00F33BD6">
        <w:rPr>
          <w:rFonts w:ascii="Arial" w:hAnsi="Arial" w:cs="Arial"/>
        </w:rPr>
        <w:t>decision of the Commission</w:t>
      </w:r>
      <w:r w:rsidR="009377EB" w:rsidRPr="00DA149F">
        <w:rPr>
          <w:rFonts w:ascii="Arial" w:hAnsi="Arial" w:cs="Arial"/>
        </w:rPr>
        <w:t>.</w:t>
      </w:r>
      <w:r w:rsidR="009377EB" w:rsidRPr="00DA149F">
        <w:rPr>
          <w:rStyle w:val="FootnoteReference"/>
          <w:rFonts w:ascii="Arial" w:hAnsi="Arial" w:cs="Arial"/>
        </w:rPr>
        <w:footnoteReference w:id="1"/>
      </w:r>
      <w:r w:rsidR="009377EB" w:rsidRPr="00DA149F">
        <w:rPr>
          <w:rFonts w:ascii="Arial" w:hAnsi="Arial" w:cs="Arial"/>
        </w:rPr>
        <w:t xml:space="preserve">  </w:t>
      </w:r>
      <w:r w:rsidR="009377EB">
        <w:rPr>
          <w:rFonts w:ascii="Arial" w:hAnsi="Arial" w:cs="Arial"/>
        </w:rPr>
        <w:t>Cottonwood’s intervention was rejected in th</w:t>
      </w:r>
      <w:r w:rsidR="00197053">
        <w:rPr>
          <w:rFonts w:ascii="Arial" w:hAnsi="Arial" w:cs="Arial"/>
        </w:rPr>
        <w:t>at</w:t>
      </w:r>
      <w:r w:rsidR="009377EB">
        <w:rPr>
          <w:rFonts w:ascii="Arial" w:hAnsi="Arial" w:cs="Arial"/>
        </w:rPr>
        <w:t xml:space="preserve"> proceeding</w:t>
      </w:r>
      <w:r w:rsidR="009F3F1F">
        <w:rPr>
          <w:rFonts w:ascii="Arial" w:hAnsi="Arial" w:cs="Arial"/>
        </w:rPr>
        <w:t>,</w:t>
      </w:r>
      <w:r>
        <w:rPr>
          <w:rFonts w:ascii="Arial" w:hAnsi="Arial" w:cs="Arial"/>
        </w:rPr>
        <w:t xml:space="preserve"> </w:t>
      </w:r>
      <w:r w:rsidR="009377EB">
        <w:rPr>
          <w:rFonts w:ascii="Arial" w:hAnsi="Arial" w:cs="Arial"/>
        </w:rPr>
        <w:t xml:space="preserve">and </w:t>
      </w:r>
      <w:r w:rsidR="00197053">
        <w:rPr>
          <w:rFonts w:ascii="Arial" w:hAnsi="Arial" w:cs="Arial"/>
        </w:rPr>
        <w:t xml:space="preserve">here </w:t>
      </w:r>
      <w:r w:rsidR="009377EB">
        <w:rPr>
          <w:rFonts w:ascii="Arial" w:hAnsi="Arial" w:cs="Arial"/>
        </w:rPr>
        <w:t>again Cott</w:t>
      </w:r>
      <w:r w:rsidR="00197053">
        <w:rPr>
          <w:rFonts w:ascii="Arial" w:hAnsi="Arial" w:cs="Arial"/>
        </w:rPr>
        <w:t>o</w:t>
      </w:r>
      <w:r w:rsidR="009377EB">
        <w:rPr>
          <w:rFonts w:ascii="Arial" w:hAnsi="Arial" w:cs="Arial"/>
        </w:rPr>
        <w:t xml:space="preserve">nwood </w:t>
      </w:r>
      <w:r>
        <w:rPr>
          <w:rFonts w:ascii="Arial" w:hAnsi="Arial" w:cs="Arial"/>
        </w:rPr>
        <w:t xml:space="preserve">has </w:t>
      </w:r>
      <w:r w:rsidR="009377EB">
        <w:rPr>
          <w:rFonts w:ascii="Arial" w:hAnsi="Arial" w:cs="Arial"/>
        </w:rPr>
        <w:t xml:space="preserve">failed to show </w:t>
      </w:r>
      <w:r w:rsidR="00976168">
        <w:rPr>
          <w:rFonts w:ascii="Arial" w:hAnsi="Arial" w:cs="Arial"/>
        </w:rPr>
        <w:t xml:space="preserve">that </w:t>
      </w:r>
      <w:r>
        <w:rPr>
          <w:rFonts w:ascii="Arial" w:hAnsi="Arial" w:cs="Arial"/>
        </w:rPr>
        <w:t>it has a</w:t>
      </w:r>
      <w:r w:rsidR="00976168">
        <w:rPr>
          <w:rFonts w:ascii="Arial" w:hAnsi="Arial" w:cs="Arial"/>
        </w:rPr>
        <w:t xml:space="preserve"> legal entitlement that may</w:t>
      </w:r>
      <w:r>
        <w:rPr>
          <w:rFonts w:ascii="Arial" w:hAnsi="Arial" w:cs="Arial"/>
        </w:rPr>
        <w:t xml:space="preserve"> be adversely affected.</w:t>
      </w:r>
      <w:r w:rsidR="00E851A5">
        <w:rPr>
          <w:rFonts w:ascii="Arial" w:hAnsi="Arial" w:cs="Arial"/>
        </w:rPr>
        <w:t xml:space="preserve">  The Commission </w:t>
      </w:r>
      <w:r w:rsidR="00976168">
        <w:rPr>
          <w:rFonts w:ascii="Arial" w:hAnsi="Arial" w:cs="Arial"/>
        </w:rPr>
        <w:t>has</w:t>
      </w:r>
      <w:r w:rsidR="00E851A5">
        <w:rPr>
          <w:rFonts w:ascii="Arial" w:hAnsi="Arial" w:cs="Arial"/>
        </w:rPr>
        <w:t xml:space="preserve"> not </w:t>
      </w:r>
      <w:r w:rsidR="009377EB">
        <w:rPr>
          <w:rFonts w:ascii="Arial" w:hAnsi="Arial" w:cs="Arial"/>
        </w:rPr>
        <w:t xml:space="preserve">previously </w:t>
      </w:r>
      <w:r w:rsidR="00E851A5">
        <w:rPr>
          <w:rFonts w:ascii="Arial" w:hAnsi="Arial" w:cs="Arial"/>
        </w:rPr>
        <w:t>grant</w:t>
      </w:r>
      <w:r w:rsidR="009377EB">
        <w:rPr>
          <w:rFonts w:ascii="Arial" w:hAnsi="Arial" w:cs="Arial"/>
        </w:rPr>
        <w:t>ed</w:t>
      </w:r>
      <w:r w:rsidR="00E851A5">
        <w:rPr>
          <w:rFonts w:ascii="Arial" w:hAnsi="Arial" w:cs="Arial"/>
        </w:rPr>
        <w:t xml:space="preserve"> intervenor status based on the type of non-justiciable interests </w:t>
      </w:r>
      <w:r w:rsidR="009377EB">
        <w:rPr>
          <w:rFonts w:ascii="Arial" w:hAnsi="Arial" w:cs="Arial"/>
        </w:rPr>
        <w:t>presented</w:t>
      </w:r>
      <w:r w:rsidR="00E851A5">
        <w:rPr>
          <w:rFonts w:ascii="Arial" w:hAnsi="Arial" w:cs="Arial"/>
        </w:rPr>
        <w:t xml:space="preserve"> by Cott</w:t>
      </w:r>
      <w:r w:rsidR="00976168">
        <w:rPr>
          <w:rFonts w:ascii="Arial" w:hAnsi="Arial" w:cs="Arial"/>
        </w:rPr>
        <w:t>o</w:t>
      </w:r>
      <w:r w:rsidR="00E851A5">
        <w:rPr>
          <w:rFonts w:ascii="Arial" w:hAnsi="Arial" w:cs="Arial"/>
        </w:rPr>
        <w:t xml:space="preserve">nwood, and to start doing so now would </w:t>
      </w:r>
      <w:r w:rsidR="00197053">
        <w:rPr>
          <w:rFonts w:ascii="Arial" w:hAnsi="Arial" w:cs="Arial"/>
        </w:rPr>
        <w:t xml:space="preserve">create </w:t>
      </w:r>
      <w:r w:rsidR="00E851A5">
        <w:rPr>
          <w:rFonts w:ascii="Arial" w:hAnsi="Arial" w:cs="Arial"/>
        </w:rPr>
        <w:t xml:space="preserve">bad </w:t>
      </w:r>
      <w:r w:rsidR="00976168">
        <w:rPr>
          <w:rFonts w:ascii="Arial" w:hAnsi="Arial" w:cs="Arial"/>
        </w:rPr>
        <w:t xml:space="preserve">policy and </w:t>
      </w:r>
      <w:r w:rsidR="00E851A5">
        <w:rPr>
          <w:rFonts w:ascii="Arial" w:hAnsi="Arial" w:cs="Arial"/>
        </w:rPr>
        <w:t>precedent.</w:t>
      </w:r>
      <w:r w:rsidR="009377EB">
        <w:rPr>
          <w:rFonts w:ascii="Arial" w:hAnsi="Arial" w:cs="Arial"/>
        </w:rPr>
        <w:t xml:space="preserve"> </w:t>
      </w:r>
    </w:p>
    <w:p w:rsidR="00DA149F" w:rsidRPr="008B57B3" w:rsidRDefault="00DA149F" w:rsidP="006810E8">
      <w:pPr>
        <w:pStyle w:val="Heading1"/>
        <w:spacing w:after="0"/>
      </w:pPr>
      <w:bookmarkStart w:id="0" w:name="_Toc254695644"/>
      <w:r w:rsidRPr="008B57B3">
        <w:lastRenderedPageBreak/>
        <w:t>I.</w:t>
      </w:r>
      <w:r w:rsidRPr="008B57B3">
        <w:tab/>
      </w:r>
      <w:r w:rsidR="001403CF">
        <w:t>PROCEDURAL MATTERS</w:t>
      </w:r>
      <w:bookmarkEnd w:id="0"/>
    </w:p>
    <w:p w:rsidR="00DA149F" w:rsidRDefault="000231A8" w:rsidP="00D45CF6">
      <w:pPr>
        <w:spacing w:after="0" w:line="480" w:lineRule="auto"/>
        <w:ind w:firstLine="749"/>
        <w:jc w:val="both"/>
        <w:rPr>
          <w:rFonts w:ascii="Arial" w:hAnsi="Arial" w:cs="Arial"/>
        </w:rPr>
      </w:pPr>
      <w:r>
        <w:rPr>
          <w:rFonts w:ascii="Arial" w:hAnsi="Arial" w:cs="Arial"/>
        </w:rPr>
        <w:t xml:space="preserve">ETI received </w:t>
      </w:r>
      <w:r w:rsidR="001403CF">
        <w:rPr>
          <w:rFonts w:ascii="Arial" w:hAnsi="Arial" w:cs="Arial"/>
        </w:rPr>
        <w:t>the Cottonwood A</w:t>
      </w:r>
      <w:r>
        <w:rPr>
          <w:rFonts w:ascii="Arial" w:hAnsi="Arial" w:cs="Arial"/>
        </w:rPr>
        <w:t xml:space="preserve">ppeal on February 16, 2010.  Pursuant to P.U.C. </w:t>
      </w:r>
      <w:r w:rsidRPr="000231A8">
        <w:rPr>
          <w:rFonts w:ascii="Arial" w:hAnsi="Arial" w:cs="Arial"/>
          <w:smallCaps/>
        </w:rPr>
        <w:t>Proc</w:t>
      </w:r>
      <w:r>
        <w:rPr>
          <w:rFonts w:ascii="Arial" w:hAnsi="Arial" w:cs="Arial"/>
        </w:rPr>
        <w:t>. R. 22.123</w:t>
      </w:r>
      <w:r w:rsidR="00DA149F">
        <w:rPr>
          <w:rFonts w:ascii="Arial" w:hAnsi="Arial" w:cs="Arial"/>
        </w:rPr>
        <w:t xml:space="preserve">(a)(4), </w:t>
      </w:r>
      <w:r w:rsidR="00DA149F" w:rsidRPr="00DA149F">
        <w:rPr>
          <w:rFonts w:ascii="Arial" w:hAnsi="Arial" w:cs="Arial"/>
        </w:rPr>
        <w:t xml:space="preserve">ETI’s response is due within five </w:t>
      </w:r>
      <w:r w:rsidR="00DA149F" w:rsidRPr="00DA149F">
        <w:rPr>
          <w:rFonts w:ascii="Arial" w:hAnsi="Arial" w:cs="Arial"/>
          <w:iCs/>
        </w:rPr>
        <w:t>working</w:t>
      </w:r>
      <w:r w:rsidR="00DA149F" w:rsidRPr="00DA149F">
        <w:rPr>
          <w:rFonts w:ascii="Arial" w:hAnsi="Arial" w:cs="Arial"/>
        </w:rPr>
        <w:t xml:space="preserve"> days </w:t>
      </w:r>
      <w:r w:rsidR="009377EB">
        <w:rPr>
          <w:rFonts w:ascii="Arial" w:hAnsi="Arial" w:cs="Arial"/>
        </w:rPr>
        <w:t>of the filing of the appeal</w:t>
      </w:r>
      <w:r w:rsidR="00DA149F" w:rsidRPr="00DA149F">
        <w:rPr>
          <w:rFonts w:ascii="Arial" w:hAnsi="Arial" w:cs="Arial"/>
        </w:rPr>
        <w:t xml:space="preserve">.  Therefore, this </w:t>
      </w:r>
      <w:r w:rsidR="0005551F">
        <w:rPr>
          <w:rFonts w:ascii="Arial" w:hAnsi="Arial" w:cs="Arial"/>
        </w:rPr>
        <w:t>response</w:t>
      </w:r>
      <w:r w:rsidR="00DA149F" w:rsidRPr="00DA149F">
        <w:rPr>
          <w:rFonts w:ascii="Arial" w:hAnsi="Arial" w:cs="Arial"/>
        </w:rPr>
        <w:t xml:space="preserve"> is timely filed</w:t>
      </w:r>
      <w:r w:rsidR="00163DFD">
        <w:rPr>
          <w:rFonts w:ascii="Arial" w:hAnsi="Arial" w:cs="Arial"/>
        </w:rPr>
        <w:t xml:space="preserve"> on February 23, 2010</w:t>
      </w:r>
      <w:r w:rsidR="00DA149F" w:rsidRPr="00DA149F">
        <w:rPr>
          <w:rFonts w:ascii="Arial" w:hAnsi="Arial" w:cs="Arial"/>
        </w:rPr>
        <w:t>.</w:t>
      </w:r>
    </w:p>
    <w:p w:rsidR="00DA149F" w:rsidRPr="00DA149F" w:rsidRDefault="00DA149F" w:rsidP="004B752F">
      <w:pPr>
        <w:pStyle w:val="Heading1"/>
      </w:pPr>
      <w:bookmarkStart w:id="1" w:name="_Toc254695645"/>
      <w:r w:rsidRPr="00DA149F">
        <w:t>II.</w:t>
      </w:r>
      <w:r w:rsidRPr="00DA149F">
        <w:tab/>
        <w:t>ARGUMENT</w:t>
      </w:r>
      <w:bookmarkEnd w:id="1"/>
    </w:p>
    <w:p w:rsidR="00DA149F" w:rsidRPr="004B752F" w:rsidRDefault="00DA149F" w:rsidP="004B752F">
      <w:pPr>
        <w:pStyle w:val="Level2"/>
      </w:pPr>
      <w:bookmarkStart w:id="2" w:name="_Toc254695646"/>
      <w:smartTag w:uri="urn:schemas-microsoft-com:office:smarttags" w:element="stockticker">
        <w:r w:rsidRPr="004B752F">
          <w:t>Cottonwood</w:t>
        </w:r>
      </w:smartTag>
      <w:r w:rsidRPr="004B752F">
        <w:t xml:space="preserve"> Has Not Demonstrated a Justiciable Interest.</w:t>
      </w:r>
      <w:bookmarkEnd w:id="2"/>
    </w:p>
    <w:p w:rsidR="0004094B" w:rsidRPr="0004094B" w:rsidRDefault="001403CF" w:rsidP="00A0794A">
      <w:pPr>
        <w:pStyle w:val="Level3"/>
      </w:pPr>
      <w:bookmarkStart w:id="3" w:name="_Toc254695647"/>
      <w:r>
        <w:t>Background</w:t>
      </w:r>
      <w:bookmarkEnd w:id="3"/>
    </w:p>
    <w:p w:rsidR="009377EB" w:rsidRPr="00DA149F" w:rsidRDefault="009377EB" w:rsidP="00D45CF6">
      <w:pPr>
        <w:spacing w:after="0" w:line="480" w:lineRule="auto"/>
        <w:ind w:firstLine="749"/>
        <w:jc w:val="both"/>
        <w:rPr>
          <w:rFonts w:ascii="Arial" w:hAnsi="Arial" w:cs="Arial"/>
        </w:rPr>
      </w:pPr>
      <w:r w:rsidRPr="00DA149F">
        <w:rPr>
          <w:rFonts w:ascii="Arial" w:hAnsi="Arial" w:cs="Arial"/>
        </w:rPr>
        <w:t xml:space="preserve">A party has standing to intervene in a </w:t>
      </w:r>
      <w:r w:rsidR="00BA671E">
        <w:rPr>
          <w:rFonts w:ascii="Arial" w:hAnsi="Arial" w:cs="Arial"/>
        </w:rPr>
        <w:t xml:space="preserve">Commission </w:t>
      </w:r>
      <w:r w:rsidRPr="00DA149F">
        <w:rPr>
          <w:rFonts w:ascii="Arial" w:hAnsi="Arial" w:cs="Arial"/>
        </w:rPr>
        <w:t>proceeding if that person (1) has a right to participate that is expressly conferred by statute, Commission rule, or order or other law; or (2) has or represents persons with a justiciable interest which may be adversely affected by the outcome of the proceeding.</w:t>
      </w:r>
      <w:r w:rsidRPr="00DA149F">
        <w:rPr>
          <w:rStyle w:val="FootnoteReference"/>
          <w:rFonts w:ascii="Arial" w:hAnsi="Arial" w:cs="Arial"/>
        </w:rPr>
        <w:footnoteReference w:id="2"/>
      </w:r>
      <w:r w:rsidRPr="00DA149F">
        <w:rPr>
          <w:rFonts w:ascii="Arial" w:hAnsi="Arial" w:cs="Arial"/>
        </w:rPr>
        <w:t xml:space="preserve">  Cottonwood does not allege that it has been given a right to participate in this proceeding by a statute, Commission rule, order, or other law.  </w:t>
      </w:r>
      <w:r>
        <w:rPr>
          <w:rFonts w:ascii="Arial" w:hAnsi="Arial" w:cs="Arial"/>
        </w:rPr>
        <w:t xml:space="preserve">Rather, </w:t>
      </w:r>
      <w:r w:rsidRPr="00DA149F">
        <w:rPr>
          <w:rFonts w:ascii="Arial" w:hAnsi="Arial" w:cs="Arial"/>
        </w:rPr>
        <w:t>Cottonwood attempts to show that it has a justiciable interest that may be adversely affected by the outcome of the proceeding</w:t>
      </w:r>
      <w:r>
        <w:rPr>
          <w:rFonts w:ascii="Arial" w:hAnsi="Arial" w:cs="Arial"/>
        </w:rPr>
        <w:t>.  As explained below, however, Cottonwood’s allegations fail to show an adequate entitlement to intervene.</w:t>
      </w:r>
    </w:p>
    <w:p w:rsidR="00346CCF" w:rsidRDefault="00346CCF" w:rsidP="00D45CF6">
      <w:pPr>
        <w:spacing w:after="0" w:line="480" w:lineRule="auto"/>
        <w:ind w:firstLine="749"/>
        <w:jc w:val="both"/>
        <w:rPr>
          <w:rFonts w:ascii="Arial" w:hAnsi="Arial" w:cs="Arial"/>
        </w:rPr>
      </w:pPr>
      <w:r w:rsidRPr="00DA149F">
        <w:rPr>
          <w:rFonts w:ascii="Arial" w:hAnsi="Arial" w:cs="Arial"/>
        </w:rPr>
        <w:t xml:space="preserve">Cottonwood asserts in its </w:t>
      </w:r>
      <w:r>
        <w:rPr>
          <w:rFonts w:ascii="Arial" w:hAnsi="Arial" w:cs="Arial"/>
        </w:rPr>
        <w:t>appeal</w:t>
      </w:r>
      <w:r w:rsidRPr="00DA149F">
        <w:rPr>
          <w:rFonts w:ascii="Arial" w:hAnsi="Arial" w:cs="Arial"/>
        </w:rPr>
        <w:t xml:space="preserve"> that it has standing to intervene </w:t>
      </w:r>
      <w:r>
        <w:rPr>
          <w:rFonts w:ascii="Arial" w:hAnsi="Arial" w:cs="Arial"/>
        </w:rPr>
        <w:t xml:space="preserve">because (1) it would like to be a supplier of the Competitive Generation Service (CGS) that ETI is required by statute to </w:t>
      </w:r>
      <w:r w:rsidR="00666645">
        <w:rPr>
          <w:rFonts w:ascii="Arial" w:hAnsi="Arial" w:cs="Arial"/>
        </w:rPr>
        <w:t>propose</w:t>
      </w:r>
      <w:r>
        <w:rPr>
          <w:rFonts w:ascii="Arial" w:hAnsi="Arial" w:cs="Arial"/>
        </w:rPr>
        <w:t xml:space="preserve">, and (2) Cottonwood is an </w:t>
      </w:r>
      <w:r w:rsidRPr="00DA149F">
        <w:rPr>
          <w:rFonts w:ascii="Arial" w:hAnsi="Arial" w:cs="Arial"/>
        </w:rPr>
        <w:t>independent power producer</w:t>
      </w:r>
      <w:r>
        <w:rPr>
          <w:rFonts w:ascii="Arial" w:hAnsi="Arial" w:cs="Arial"/>
        </w:rPr>
        <w:t xml:space="preserve"> </w:t>
      </w:r>
      <w:r w:rsidRPr="00DA149F">
        <w:rPr>
          <w:rFonts w:ascii="Arial" w:hAnsi="Arial" w:cs="Arial"/>
        </w:rPr>
        <w:t>located in ETI’s service territory that, from time to time, sells power to ETI</w:t>
      </w:r>
      <w:r>
        <w:rPr>
          <w:rFonts w:ascii="Arial" w:hAnsi="Arial" w:cs="Arial"/>
        </w:rPr>
        <w:t xml:space="preserve"> and </w:t>
      </w:r>
      <w:r w:rsidR="00BA671E">
        <w:rPr>
          <w:rFonts w:ascii="Arial" w:hAnsi="Arial" w:cs="Arial"/>
        </w:rPr>
        <w:t xml:space="preserve">that its ability to make such sales </w:t>
      </w:r>
      <w:r>
        <w:rPr>
          <w:rFonts w:ascii="Arial" w:hAnsi="Arial" w:cs="Arial"/>
        </w:rPr>
        <w:t xml:space="preserve">will </w:t>
      </w:r>
      <w:r w:rsidR="00BA671E">
        <w:rPr>
          <w:rFonts w:ascii="Arial" w:hAnsi="Arial" w:cs="Arial"/>
        </w:rPr>
        <w:t xml:space="preserve">allegedly </w:t>
      </w:r>
      <w:r>
        <w:rPr>
          <w:rFonts w:ascii="Arial" w:hAnsi="Arial" w:cs="Arial"/>
        </w:rPr>
        <w:t xml:space="preserve">be affected by the </w:t>
      </w:r>
      <w:r w:rsidR="00CE22C9">
        <w:rPr>
          <w:rFonts w:ascii="Arial" w:hAnsi="Arial" w:cs="Arial"/>
        </w:rPr>
        <w:t xml:space="preserve">Company’s proposed </w:t>
      </w:r>
      <w:r>
        <w:rPr>
          <w:rFonts w:ascii="Arial" w:hAnsi="Arial" w:cs="Arial"/>
        </w:rPr>
        <w:t xml:space="preserve">Purchased Power Recovery Rider (PPR), which is designed to recover purchased </w:t>
      </w:r>
      <w:r>
        <w:rPr>
          <w:rFonts w:ascii="Arial" w:hAnsi="Arial" w:cs="Arial"/>
        </w:rPr>
        <w:lastRenderedPageBreak/>
        <w:t xml:space="preserve">power </w:t>
      </w:r>
      <w:r w:rsidR="0005551F">
        <w:rPr>
          <w:rFonts w:ascii="Arial" w:hAnsi="Arial" w:cs="Arial"/>
        </w:rPr>
        <w:t>costs</w:t>
      </w:r>
      <w:r>
        <w:rPr>
          <w:rFonts w:ascii="Arial" w:hAnsi="Arial" w:cs="Arial"/>
        </w:rPr>
        <w:t>.  Cott</w:t>
      </w:r>
      <w:r w:rsidR="008B045D">
        <w:rPr>
          <w:rFonts w:ascii="Arial" w:hAnsi="Arial" w:cs="Arial"/>
        </w:rPr>
        <w:t>o</w:t>
      </w:r>
      <w:r>
        <w:rPr>
          <w:rFonts w:ascii="Arial" w:hAnsi="Arial" w:cs="Arial"/>
        </w:rPr>
        <w:t>nwood alleges that it has “an interest in the development of the proposed tariff that no other party can adequately address</w:t>
      </w:r>
      <w:r w:rsidR="008B045D">
        <w:rPr>
          <w:rFonts w:ascii="Arial" w:hAnsi="Arial" w:cs="Arial"/>
        </w:rPr>
        <w:t>,”</w:t>
      </w:r>
      <w:r>
        <w:rPr>
          <w:rStyle w:val="FootnoteReference"/>
          <w:rFonts w:ascii="Arial" w:hAnsi="Arial" w:cs="Arial"/>
        </w:rPr>
        <w:footnoteReference w:id="3"/>
      </w:r>
      <w:r w:rsidR="008B045D">
        <w:rPr>
          <w:rFonts w:ascii="Arial" w:hAnsi="Arial" w:cs="Arial"/>
        </w:rPr>
        <w:t xml:space="preserve"> and that it has “an interest and a viewpoint that are not currently represented in this proceeding.”</w:t>
      </w:r>
      <w:r w:rsidR="008B045D">
        <w:rPr>
          <w:rStyle w:val="FootnoteReference"/>
          <w:rFonts w:ascii="Arial" w:hAnsi="Arial" w:cs="Arial"/>
        </w:rPr>
        <w:footnoteReference w:id="4"/>
      </w:r>
      <w:r w:rsidR="008B045D">
        <w:rPr>
          <w:rFonts w:ascii="Arial" w:hAnsi="Arial" w:cs="Arial"/>
        </w:rPr>
        <w:t xml:space="preserve">  </w:t>
      </w:r>
    </w:p>
    <w:p w:rsidR="00DA149F" w:rsidRPr="00DA149F" w:rsidRDefault="00DA149F" w:rsidP="00D45CF6">
      <w:pPr>
        <w:spacing w:after="0" w:line="480" w:lineRule="auto"/>
        <w:ind w:firstLine="749"/>
        <w:jc w:val="both"/>
        <w:rPr>
          <w:rFonts w:ascii="Arial" w:hAnsi="Arial" w:cs="Arial"/>
        </w:rPr>
      </w:pPr>
      <w:smartTag w:uri="urn:schemas-microsoft-com:office:smarttags" w:element="stockticker">
        <w:r w:rsidRPr="00DA149F">
          <w:rPr>
            <w:rFonts w:ascii="Arial" w:hAnsi="Arial" w:cs="Arial"/>
          </w:rPr>
          <w:t>Cottonwood</w:t>
        </w:r>
      </w:smartTag>
      <w:r w:rsidR="00AC43DF">
        <w:rPr>
          <w:rFonts w:ascii="Arial" w:hAnsi="Arial" w:cs="Arial"/>
        </w:rPr>
        <w:t xml:space="preserve">’s alleged </w:t>
      </w:r>
      <w:r w:rsidRPr="00DA149F">
        <w:rPr>
          <w:rFonts w:ascii="Arial" w:hAnsi="Arial" w:cs="Arial"/>
        </w:rPr>
        <w:t>unique</w:t>
      </w:r>
      <w:r w:rsidR="00AC43DF">
        <w:rPr>
          <w:rFonts w:ascii="Arial" w:hAnsi="Arial" w:cs="Arial"/>
        </w:rPr>
        <w:t xml:space="preserve"> viewpoint and interest</w:t>
      </w:r>
      <w:r w:rsidRPr="00DA149F">
        <w:rPr>
          <w:rFonts w:ascii="Arial" w:hAnsi="Arial" w:cs="Arial"/>
        </w:rPr>
        <w:t xml:space="preserve"> do not satisfy the requirements to show standing.  Merely having a unique position on an issue in a case, or having the ability and inclination to bring a different perspective to a case, does not translate to having a justiciable interest.  </w:t>
      </w:r>
      <w:r w:rsidR="00AC43DF">
        <w:rPr>
          <w:rFonts w:ascii="Arial" w:hAnsi="Arial" w:cs="Arial"/>
        </w:rPr>
        <w:t>The Commission has stated that a</w:t>
      </w:r>
      <w:r w:rsidRPr="00DA149F">
        <w:rPr>
          <w:rFonts w:ascii="Arial" w:hAnsi="Arial" w:cs="Arial"/>
        </w:rPr>
        <w:t xml:space="preserve"> justiciable interest is instead a legal right, namely a property right, belonging to the intervenor that may be harmed by the outcome of the proceeding in question.</w:t>
      </w:r>
      <w:r w:rsidRPr="00DA149F">
        <w:rPr>
          <w:rStyle w:val="FootnoteReference"/>
          <w:rFonts w:ascii="Arial" w:hAnsi="Arial" w:cs="Arial"/>
        </w:rPr>
        <w:footnoteReference w:id="5"/>
      </w:r>
      <w:r w:rsidRPr="00DA149F">
        <w:rPr>
          <w:rFonts w:ascii="Arial" w:hAnsi="Arial" w:cs="Arial"/>
        </w:rPr>
        <w:t xml:space="preserve">  </w:t>
      </w:r>
      <w:smartTag w:uri="urn:schemas-microsoft-com:office:smarttags" w:element="stockticker">
        <w:r w:rsidRPr="00DA149F">
          <w:rPr>
            <w:rFonts w:ascii="Arial" w:hAnsi="Arial" w:cs="Arial"/>
          </w:rPr>
          <w:t>Cottonwood</w:t>
        </w:r>
      </w:smartTag>
      <w:r w:rsidRPr="00DA149F">
        <w:rPr>
          <w:rFonts w:ascii="Arial" w:hAnsi="Arial" w:cs="Arial"/>
        </w:rPr>
        <w:t xml:space="preserve"> has not demonstrated such interest. </w:t>
      </w:r>
      <w:r w:rsidR="001C64AF">
        <w:rPr>
          <w:rFonts w:ascii="Arial" w:hAnsi="Arial" w:cs="Arial"/>
        </w:rPr>
        <w:t xml:space="preserve"> </w:t>
      </w:r>
    </w:p>
    <w:p w:rsidR="00815B93" w:rsidRDefault="00DA149F" w:rsidP="00D45CF6">
      <w:pPr>
        <w:spacing w:after="0" w:line="480" w:lineRule="auto"/>
        <w:ind w:firstLine="749"/>
        <w:jc w:val="both"/>
        <w:rPr>
          <w:rFonts w:ascii="Arial" w:hAnsi="Arial" w:cs="Arial"/>
        </w:rPr>
      </w:pPr>
      <w:r w:rsidRPr="00DA149F">
        <w:rPr>
          <w:rFonts w:ascii="Arial" w:hAnsi="Arial" w:cs="Arial"/>
        </w:rPr>
        <w:t xml:space="preserve">ETI’s application in this docket affects </w:t>
      </w:r>
      <w:r w:rsidR="001C64AF">
        <w:rPr>
          <w:rFonts w:ascii="Arial" w:hAnsi="Arial" w:cs="Arial"/>
        </w:rPr>
        <w:t xml:space="preserve">its relationships, as defined by tariff, with its </w:t>
      </w:r>
      <w:r w:rsidRPr="00DA149F">
        <w:rPr>
          <w:rFonts w:ascii="Arial" w:hAnsi="Arial" w:cs="Arial"/>
          <w:i/>
          <w:iCs/>
        </w:rPr>
        <w:t>retail</w:t>
      </w:r>
      <w:r w:rsidRPr="00DA149F">
        <w:rPr>
          <w:rFonts w:ascii="Arial" w:hAnsi="Arial" w:cs="Arial"/>
        </w:rPr>
        <w:t xml:space="preserve"> customers.  </w:t>
      </w:r>
      <w:smartTag w:uri="urn:schemas-microsoft-com:office:smarttags" w:element="stockticker">
        <w:r w:rsidRPr="00DA149F">
          <w:rPr>
            <w:rFonts w:ascii="Arial" w:hAnsi="Arial" w:cs="Arial"/>
          </w:rPr>
          <w:t>Cottonwood</w:t>
        </w:r>
      </w:smartTag>
      <w:r w:rsidRPr="00DA149F">
        <w:rPr>
          <w:rFonts w:ascii="Arial" w:hAnsi="Arial" w:cs="Arial"/>
        </w:rPr>
        <w:t xml:space="preserve"> is not an ETI retail customer; it is a retail customer of Jasper-Newton Electric Cooperative, Inc.</w:t>
      </w:r>
      <w:r w:rsidRPr="00DA149F">
        <w:rPr>
          <w:rStyle w:val="FootnoteReference"/>
          <w:rFonts w:ascii="Arial" w:hAnsi="Arial" w:cs="Arial"/>
        </w:rPr>
        <w:footnoteReference w:id="6"/>
      </w:r>
      <w:r w:rsidRPr="00DA149F">
        <w:rPr>
          <w:rFonts w:ascii="Arial" w:hAnsi="Arial" w:cs="Arial"/>
        </w:rPr>
        <w:t xml:space="preserve">  </w:t>
      </w:r>
      <w:r w:rsidR="005C253F" w:rsidRPr="00DA149F">
        <w:rPr>
          <w:rFonts w:ascii="Arial" w:hAnsi="Arial" w:cs="Arial"/>
        </w:rPr>
        <w:t xml:space="preserve">Cottonwood’s status as a </w:t>
      </w:r>
      <w:r w:rsidR="000D2A44">
        <w:rPr>
          <w:rFonts w:ascii="Arial" w:hAnsi="Arial" w:cs="Arial"/>
        </w:rPr>
        <w:t xml:space="preserve">large </w:t>
      </w:r>
      <w:r w:rsidR="005C253F" w:rsidRPr="00DA149F">
        <w:rPr>
          <w:rFonts w:ascii="Arial" w:hAnsi="Arial" w:cs="Arial"/>
        </w:rPr>
        <w:t xml:space="preserve">generator and </w:t>
      </w:r>
      <w:r w:rsidR="005C253F">
        <w:rPr>
          <w:rFonts w:ascii="Arial" w:hAnsi="Arial" w:cs="Arial"/>
        </w:rPr>
        <w:t xml:space="preserve">potential </w:t>
      </w:r>
      <w:r w:rsidR="005C253F" w:rsidRPr="00DA149F">
        <w:rPr>
          <w:rFonts w:ascii="Arial" w:hAnsi="Arial" w:cs="Arial"/>
        </w:rPr>
        <w:t>wholesale power vendor does not confer standing as a party to this proceeding</w:t>
      </w:r>
      <w:r w:rsidR="008B045D">
        <w:rPr>
          <w:rFonts w:ascii="Arial" w:hAnsi="Arial" w:cs="Arial"/>
        </w:rPr>
        <w:t xml:space="preserve"> any more than a large gas supplier’s status as a potential </w:t>
      </w:r>
      <w:r w:rsidR="00E851A5">
        <w:rPr>
          <w:rFonts w:ascii="Arial" w:hAnsi="Arial" w:cs="Arial"/>
        </w:rPr>
        <w:t xml:space="preserve">gas </w:t>
      </w:r>
      <w:r w:rsidR="008B045D">
        <w:rPr>
          <w:rFonts w:ascii="Arial" w:hAnsi="Arial" w:cs="Arial"/>
        </w:rPr>
        <w:t xml:space="preserve">vendor to ETI </w:t>
      </w:r>
      <w:r w:rsidR="00280294">
        <w:rPr>
          <w:rFonts w:ascii="Arial" w:hAnsi="Arial" w:cs="Arial"/>
        </w:rPr>
        <w:t>w</w:t>
      </w:r>
      <w:r w:rsidR="00F33BD6">
        <w:rPr>
          <w:rFonts w:ascii="Arial" w:hAnsi="Arial" w:cs="Arial"/>
        </w:rPr>
        <w:t>ould confer standing on it to intervene in ETI proceedings</w:t>
      </w:r>
      <w:r w:rsidR="005C253F" w:rsidRPr="00DA149F">
        <w:rPr>
          <w:rFonts w:ascii="Arial" w:hAnsi="Arial" w:cs="Arial"/>
        </w:rPr>
        <w:t xml:space="preserve">.  </w:t>
      </w:r>
      <w:r w:rsidR="00815B93">
        <w:rPr>
          <w:rFonts w:ascii="Arial" w:hAnsi="Arial" w:cs="Arial"/>
        </w:rPr>
        <w:t>Cottonwood identifies no legal right or property i</w:t>
      </w:r>
      <w:r w:rsidR="00F61577">
        <w:rPr>
          <w:rFonts w:ascii="Arial" w:hAnsi="Arial" w:cs="Arial"/>
        </w:rPr>
        <w:t>nterest that equates to a justici</w:t>
      </w:r>
      <w:r w:rsidR="00815B93">
        <w:rPr>
          <w:rFonts w:ascii="Arial" w:hAnsi="Arial" w:cs="Arial"/>
        </w:rPr>
        <w:t xml:space="preserve">able interest that may </w:t>
      </w:r>
      <w:r w:rsidR="00F33BD6">
        <w:rPr>
          <w:rFonts w:ascii="Arial" w:hAnsi="Arial" w:cs="Arial"/>
        </w:rPr>
        <w:t>be adversely affected here</w:t>
      </w:r>
      <w:r w:rsidR="00F61577">
        <w:rPr>
          <w:rFonts w:ascii="Arial" w:hAnsi="Arial" w:cs="Arial"/>
        </w:rPr>
        <w:t>.</w:t>
      </w:r>
      <w:r w:rsidR="005C253F" w:rsidRPr="005C253F">
        <w:rPr>
          <w:rFonts w:ascii="Arial" w:hAnsi="Arial" w:cs="Arial"/>
        </w:rPr>
        <w:t xml:space="preserve"> </w:t>
      </w:r>
      <w:r w:rsidR="00F33BD6">
        <w:rPr>
          <w:rFonts w:ascii="Arial" w:hAnsi="Arial" w:cs="Arial"/>
        </w:rPr>
        <w:t xml:space="preserve"> </w:t>
      </w:r>
      <w:r w:rsidR="00F61577">
        <w:rPr>
          <w:rFonts w:ascii="Arial" w:hAnsi="Arial" w:cs="Arial"/>
        </w:rPr>
        <w:t xml:space="preserve">Instead, </w:t>
      </w:r>
      <w:r w:rsidR="00815B93">
        <w:rPr>
          <w:rFonts w:ascii="Arial" w:hAnsi="Arial" w:cs="Arial"/>
        </w:rPr>
        <w:t>Cottonwood</w:t>
      </w:r>
      <w:r w:rsidR="00F61577">
        <w:rPr>
          <w:rFonts w:ascii="Arial" w:hAnsi="Arial" w:cs="Arial"/>
        </w:rPr>
        <w:t xml:space="preserve"> identifies certain </w:t>
      </w:r>
      <w:r w:rsidR="00815B93">
        <w:rPr>
          <w:rFonts w:ascii="Arial" w:hAnsi="Arial" w:cs="Arial"/>
        </w:rPr>
        <w:t>wishes</w:t>
      </w:r>
      <w:r w:rsidR="00F61577">
        <w:rPr>
          <w:rFonts w:ascii="Arial" w:hAnsi="Arial" w:cs="Arial"/>
        </w:rPr>
        <w:t xml:space="preserve"> and </w:t>
      </w:r>
      <w:r w:rsidR="00815B93">
        <w:rPr>
          <w:rFonts w:ascii="Arial" w:hAnsi="Arial" w:cs="Arial"/>
        </w:rPr>
        <w:t xml:space="preserve">desires </w:t>
      </w:r>
      <w:r w:rsidR="00F61577">
        <w:rPr>
          <w:rFonts w:ascii="Arial" w:hAnsi="Arial" w:cs="Arial"/>
        </w:rPr>
        <w:t xml:space="preserve">that </w:t>
      </w:r>
      <w:r w:rsidR="00F61577">
        <w:rPr>
          <w:rFonts w:ascii="Arial" w:hAnsi="Arial" w:cs="Arial"/>
        </w:rPr>
        <w:lastRenderedPageBreak/>
        <w:t>may be adversely affected in this proceeding.</w:t>
      </w:r>
      <w:r w:rsidR="00AC43DF">
        <w:rPr>
          <w:rFonts w:ascii="Arial" w:hAnsi="Arial" w:cs="Arial"/>
        </w:rPr>
        <w:t xml:space="preserve">  </w:t>
      </w:r>
      <w:r w:rsidR="00FF4CA3">
        <w:rPr>
          <w:rFonts w:ascii="Arial" w:hAnsi="Arial" w:cs="Arial"/>
        </w:rPr>
        <w:t xml:space="preserve">For example, </w:t>
      </w:r>
      <w:r w:rsidR="00983159">
        <w:rPr>
          <w:rFonts w:ascii="Arial" w:hAnsi="Arial" w:cs="Arial"/>
        </w:rPr>
        <w:t>Cott</w:t>
      </w:r>
      <w:r w:rsidR="00AC43DF">
        <w:rPr>
          <w:rFonts w:ascii="Arial" w:hAnsi="Arial" w:cs="Arial"/>
        </w:rPr>
        <w:t>o</w:t>
      </w:r>
      <w:r w:rsidR="00983159">
        <w:rPr>
          <w:rFonts w:ascii="Arial" w:hAnsi="Arial" w:cs="Arial"/>
        </w:rPr>
        <w:t xml:space="preserve">nwood </w:t>
      </w:r>
      <w:r w:rsidR="00FF4CA3">
        <w:rPr>
          <w:rFonts w:ascii="Arial" w:hAnsi="Arial" w:cs="Arial"/>
        </w:rPr>
        <w:t>states that it “</w:t>
      </w:r>
      <w:r w:rsidR="00983159">
        <w:rPr>
          <w:rFonts w:ascii="Arial" w:hAnsi="Arial" w:cs="Arial"/>
        </w:rPr>
        <w:t xml:space="preserve">would like to </w:t>
      </w:r>
      <w:r w:rsidR="00FF4CA3">
        <w:rPr>
          <w:rFonts w:ascii="Arial" w:hAnsi="Arial" w:cs="Arial"/>
        </w:rPr>
        <w:t>be a supplier of the [CGS],” that it</w:t>
      </w:r>
      <w:r w:rsidR="005C253F" w:rsidRPr="005C253F">
        <w:rPr>
          <w:rFonts w:ascii="Arial" w:hAnsi="Arial" w:cs="Arial"/>
        </w:rPr>
        <w:t xml:space="preserve"> </w:t>
      </w:r>
      <w:r w:rsidR="005C253F">
        <w:rPr>
          <w:rFonts w:ascii="Arial" w:hAnsi="Arial" w:cs="Arial"/>
        </w:rPr>
        <w:t>“has an interest in the development of the proposed tariff . . .”</w:t>
      </w:r>
      <w:r w:rsidR="00FF4CA3">
        <w:rPr>
          <w:rFonts w:ascii="Arial" w:hAnsi="Arial" w:cs="Arial"/>
        </w:rPr>
        <w:t xml:space="preserve"> </w:t>
      </w:r>
      <w:r w:rsidR="005A30E2">
        <w:rPr>
          <w:rFonts w:ascii="Arial" w:hAnsi="Arial" w:cs="Arial"/>
        </w:rPr>
        <w:t>and</w:t>
      </w:r>
      <w:r w:rsidR="005C253F">
        <w:rPr>
          <w:rFonts w:ascii="Arial" w:hAnsi="Arial" w:cs="Arial"/>
        </w:rPr>
        <w:t xml:space="preserve"> that it </w:t>
      </w:r>
      <w:r w:rsidR="00AC43DF">
        <w:rPr>
          <w:rFonts w:ascii="Arial" w:hAnsi="Arial" w:cs="Arial"/>
        </w:rPr>
        <w:t>“wishes to be a potential provide</w:t>
      </w:r>
      <w:r w:rsidR="00CE22C9">
        <w:rPr>
          <w:rFonts w:ascii="Arial" w:hAnsi="Arial" w:cs="Arial"/>
        </w:rPr>
        <w:t>r</w:t>
      </w:r>
      <w:r w:rsidR="00AC43DF">
        <w:rPr>
          <w:rFonts w:ascii="Arial" w:hAnsi="Arial" w:cs="Arial"/>
        </w:rPr>
        <w:t xml:space="preserve"> of competitive services</w:t>
      </w:r>
      <w:r w:rsidR="00FF4CA3">
        <w:rPr>
          <w:rFonts w:ascii="Arial" w:hAnsi="Arial" w:cs="Arial"/>
        </w:rPr>
        <w:t xml:space="preserve"> . . .”</w:t>
      </w:r>
      <w:r w:rsidR="005C253F">
        <w:rPr>
          <w:rStyle w:val="FootnoteReference"/>
          <w:rFonts w:ascii="Arial" w:hAnsi="Arial" w:cs="Arial"/>
        </w:rPr>
        <w:footnoteReference w:id="7"/>
      </w:r>
      <w:r w:rsidR="00E851A5">
        <w:rPr>
          <w:rFonts w:ascii="Arial" w:hAnsi="Arial" w:cs="Arial"/>
        </w:rPr>
        <w:t xml:space="preserve">  These types of </w:t>
      </w:r>
      <w:r w:rsidR="00BA671E">
        <w:rPr>
          <w:rFonts w:ascii="Arial" w:hAnsi="Arial" w:cs="Arial"/>
        </w:rPr>
        <w:t xml:space="preserve">unilateral </w:t>
      </w:r>
      <w:r w:rsidR="00E851A5">
        <w:rPr>
          <w:rFonts w:ascii="Arial" w:hAnsi="Arial" w:cs="Arial"/>
        </w:rPr>
        <w:t xml:space="preserve">desires </w:t>
      </w:r>
      <w:r w:rsidR="00BA671E">
        <w:rPr>
          <w:rFonts w:ascii="Arial" w:hAnsi="Arial" w:cs="Arial"/>
        </w:rPr>
        <w:t>do not rise to the level of legal or property rights</w:t>
      </w:r>
      <w:r w:rsidR="001403CF">
        <w:rPr>
          <w:rFonts w:ascii="Arial" w:hAnsi="Arial" w:cs="Arial"/>
        </w:rPr>
        <w:t xml:space="preserve"> and</w:t>
      </w:r>
      <w:r w:rsidR="00BA671E">
        <w:rPr>
          <w:rFonts w:ascii="Arial" w:hAnsi="Arial" w:cs="Arial"/>
        </w:rPr>
        <w:t xml:space="preserve"> </w:t>
      </w:r>
      <w:r w:rsidR="00E851A5">
        <w:rPr>
          <w:rFonts w:ascii="Arial" w:hAnsi="Arial" w:cs="Arial"/>
        </w:rPr>
        <w:t>have not been found to be justiciable interests in the past</w:t>
      </w:r>
      <w:r w:rsidR="001403CF">
        <w:rPr>
          <w:rFonts w:ascii="Arial" w:hAnsi="Arial" w:cs="Arial"/>
        </w:rPr>
        <w:t>.  T</w:t>
      </w:r>
      <w:r w:rsidR="00E851A5">
        <w:rPr>
          <w:rFonts w:ascii="Arial" w:hAnsi="Arial" w:cs="Arial"/>
        </w:rPr>
        <w:t xml:space="preserve">he Commission should not start down the path of allowing interventions </w:t>
      </w:r>
      <w:r w:rsidR="000D2A44">
        <w:rPr>
          <w:rFonts w:ascii="Arial" w:hAnsi="Arial" w:cs="Arial"/>
        </w:rPr>
        <w:t>premised</w:t>
      </w:r>
      <w:r w:rsidR="00E851A5">
        <w:rPr>
          <w:rFonts w:ascii="Arial" w:hAnsi="Arial" w:cs="Arial"/>
        </w:rPr>
        <w:t xml:space="preserve"> on such </w:t>
      </w:r>
      <w:r w:rsidR="00713B7D">
        <w:rPr>
          <w:rFonts w:ascii="Arial" w:hAnsi="Arial" w:cs="Arial"/>
        </w:rPr>
        <w:t>claimed interests</w:t>
      </w:r>
      <w:r w:rsidR="00E851A5">
        <w:rPr>
          <w:rFonts w:ascii="Arial" w:hAnsi="Arial" w:cs="Arial"/>
        </w:rPr>
        <w:t xml:space="preserve">. </w:t>
      </w:r>
    </w:p>
    <w:p w:rsidR="00E75D14" w:rsidRDefault="00E75D14" w:rsidP="00D45CF6">
      <w:pPr>
        <w:spacing w:after="0" w:line="480" w:lineRule="auto"/>
        <w:ind w:firstLine="749"/>
        <w:jc w:val="both"/>
        <w:rPr>
          <w:rFonts w:ascii="Arial" w:hAnsi="Arial" w:cs="Arial"/>
        </w:rPr>
      </w:pPr>
      <w:r>
        <w:rPr>
          <w:rFonts w:ascii="Arial" w:hAnsi="Arial" w:cs="Arial"/>
        </w:rPr>
        <w:t>The mixed signals that Cottonwood’s pleadings send as to its agenda in this proceeding are exemplif</w:t>
      </w:r>
      <w:r w:rsidR="001403CF">
        <w:rPr>
          <w:rFonts w:ascii="Arial" w:hAnsi="Arial" w:cs="Arial"/>
        </w:rPr>
        <w:t>ied on page seven of its appeal</w:t>
      </w:r>
      <w:r w:rsidR="00296D55">
        <w:rPr>
          <w:rFonts w:ascii="Arial" w:hAnsi="Arial" w:cs="Arial"/>
        </w:rPr>
        <w:t>,</w:t>
      </w:r>
      <w:r>
        <w:rPr>
          <w:rFonts w:ascii="Arial" w:hAnsi="Arial" w:cs="Arial"/>
        </w:rPr>
        <w:t xml:space="preserve"> where Cottonwood states that it “desires to present evidence regarding the prudence and reasonableness of Entergy’s purchased power and fuel costs that is directly relevant to the issues in this case.”  Cottonwood, however, is not a retail customer who would be affected by ETI’s purchased power and fuel costs</w:t>
      </w:r>
      <w:r w:rsidR="00497404">
        <w:rPr>
          <w:rFonts w:ascii="Arial" w:hAnsi="Arial" w:cs="Arial"/>
        </w:rPr>
        <w:t xml:space="preserve">.  </w:t>
      </w:r>
      <w:smartTag w:uri="urn:schemas-microsoft-com:office:smarttags" w:element="stockticker">
        <w:r w:rsidR="00497404" w:rsidRPr="00DA149F">
          <w:rPr>
            <w:rFonts w:ascii="Arial" w:hAnsi="Arial" w:cs="Arial"/>
          </w:rPr>
          <w:t>Cottonwood</w:t>
        </w:r>
      </w:smartTag>
      <w:r w:rsidR="00497404" w:rsidRPr="00DA149F">
        <w:rPr>
          <w:rFonts w:ascii="Arial" w:hAnsi="Arial" w:cs="Arial"/>
        </w:rPr>
        <w:t xml:space="preserve"> has not and will not pay </w:t>
      </w:r>
      <w:r w:rsidR="00497404">
        <w:rPr>
          <w:rFonts w:ascii="Arial" w:hAnsi="Arial" w:cs="Arial"/>
        </w:rPr>
        <w:t>the</w:t>
      </w:r>
      <w:r w:rsidR="00497404" w:rsidRPr="00DA149F">
        <w:rPr>
          <w:rFonts w:ascii="Arial" w:hAnsi="Arial" w:cs="Arial"/>
        </w:rPr>
        <w:t xml:space="preserve"> fuel or purchased power costs to be reconci</w:t>
      </w:r>
      <w:r w:rsidR="00497404">
        <w:rPr>
          <w:rFonts w:ascii="Arial" w:hAnsi="Arial" w:cs="Arial"/>
        </w:rPr>
        <w:t>led in this proceeding.  As such, the only real interest Cott</w:t>
      </w:r>
      <w:r w:rsidR="00CF39BE">
        <w:rPr>
          <w:rFonts w:ascii="Arial" w:hAnsi="Arial" w:cs="Arial"/>
        </w:rPr>
        <w:t>o</w:t>
      </w:r>
      <w:r w:rsidR="00497404">
        <w:rPr>
          <w:rFonts w:ascii="Arial" w:hAnsi="Arial" w:cs="Arial"/>
        </w:rPr>
        <w:t xml:space="preserve">nwood can prove is using this case as a means </w:t>
      </w:r>
      <w:r>
        <w:rPr>
          <w:rFonts w:ascii="Arial" w:hAnsi="Arial" w:cs="Arial"/>
        </w:rPr>
        <w:t xml:space="preserve">to gain leverage in its ongoing business relationships with ETI.  Cottonwood’s stated desires in this respect are wholly unrelated to its real status and relationships with regard to ETI, let alone </w:t>
      </w:r>
      <w:r w:rsidR="001403CF">
        <w:rPr>
          <w:rFonts w:ascii="Arial" w:hAnsi="Arial" w:cs="Arial"/>
        </w:rPr>
        <w:t>ETI’s retail customers</w:t>
      </w:r>
      <w:r>
        <w:rPr>
          <w:rFonts w:ascii="Arial" w:hAnsi="Arial" w:cs="Arial"/>
        </w:rPr>
        <w:t>.</w:t>
      </w:r>
    </w:p>
    <w:p w:rsidR="0004094B" w:rsidRPr="0004094B" w:rsidRDefault="0003702E" w:rsidP="00A0794A">
      <w:pPr>
        <w:pStyle w:val="Level3"/>
      </w:pPr>
      <w:bookmarkStart w:id="4" w:name="_Toc254695648"/>
      <w:r>
        <w:t xml:space="preserve">The </w:t>
      </w:r>
      <w:r w:rsidR="0004094B" w:rsidRPr="0004094B">
        <w:t xml:space="preserve">PPR </w:t>
      </w:r>
      <w:r w:rsidR="00F969E5">
        <w:t xml:space="preserve">and CGS </w:t>
      </w:r>
      <w:r w:rsidR="0004094B" w:rsidRPr="0004094B">
        <w:t>Rider</w:t>
      </w:r>
      <w:r w:rsidR="00F969E5">
        <w:t>s</w:t>
      </w:r>
      <w:r>
        <w:t xml:space="preserve"> are </w:t>
      </w:r>
      <w:r w:rsidRPr="00D04EC3">
        <w:t>Retail</w:t>
      </w:r>
      <w:r>
        <w:t xml:space="preserve"> Tariffs.</w:t>
      </w:r>
      <w:bookmarkEnd w:id="4"/>
    </w:p>
    <w:p w:rsidR="00DA149F" w:rsidRDefault="00FF4CA3" w:rsidP="00D45CF6">
      <w:pPr>
        <w:spacing w:after="0" w:line="480" w:lineRule="auto"/>
        <w:ind w:firstLine="749"/>
        <w:jc w:val="both"/>
        <w:rPr>
          <w:rFonts w:ascii="Arial" w:hAnsi="Arial" w:cs="Arial"/>
        </w:rPr>
      </w:pPr>
      <w:r w:rsidRPr="00DA149F">
        <w:rPr>
          <w:rFonts w:ascii="Arial" w:hAnsi="Arial" w:cs="Arial"/>
        </w:rPr>
        <w:t xml:space="preserve">The PPR rider identified by Cottonwood </w:t>
      </w:r>
      <w:r w:rsidR="00E851A5">
        <w:rPr>
          <w:rFonts w:ascii="Arial" w:hAnsi="Arial" w:cs="Arial"/>
        </w:rPr>
        <w:t xml:space="preserve">as a basis for its intervention </w:t>
      </w:r>
      <w:r w:rsidRPr="00DA149F">
        <w:rPr>
          <w:rFonts w:ascii="Arial" w:hAnsi="Arial" w:cs="Arial"/>
        </w:rPr>
        <w:t xml:space="preserve">is a retail tariff that defines the relationship between ETI and its retail customers. </w:t>
      </w:r>
      <w:r>
        <w:rPr>
          <w:rFonts w:ascii="Arial" w:hAnsi="Arial" w:cs="Arial"/>
        </w:rPr>
        <w:t xml:space="preserve"> </w:t>
      </w:r>
      <w:smartTag w:uri="urn:schemas-microsoft-com:office:smarttags" w:element="stockticker">
        <w:r w:rsidR="00DA149F" w:rsidRPr="00DA149F">
          <w:rPr>
            <w:rFonts w:ascii="Arial" w:hAnsi="Arial" w:cs="Arial"/>
          </w:rPr>
          <w:t>Cottonwood</w:t>
        </w:r>
      </w:smartTag>
      <w:r w:rsidR="00DA149F" w:rsidRPr="00DA149F">
        <w:rPr>
          <w:rFonts w:ascii="Arial" w:hAnsi="Arial" w:cs="Arial"/>
        </w:rPr>
        <w:t xml:space="preserve"> </w:t>
      </w:r>
      <w:r w:rsidR="00497404">
        <w:rPr>
          <w:rFonts w:ascii="Arial" w:hAnsi="Arial" w:cs="Arial"/>
        </w:rPr>
        <w:t xml:space="preserve">will not </w:t>
      </w:r>
      <w:r w:rsidR="00DA149F" w:rsidRPr="00DA149F">
        <w:rPr>
          <w:rFonts w:ascii="Arial" w:hAnsi="Arial" w:cs="Arial"/>
        </w:rPr>
        <w:t xml:space="preserve">pay </w:t>
      </w:r>
      <w:r w:rsidR="00280294">
        <w:rPr>
          <w:rFonts w:ascii="Arial" w:hAnsi="Arial" w:cs="Arial"/>
        </w:rPr>
        <w:t>the</w:t>
      </w:r>
      <w:r w:rsidR="00DA149F" w:rsidRPr="00DA149F">
        <w:rPr>
          <w:rFonts w:ascii="Arial" w:hAnsi="Arial" w:cs="Arial"/>
        </w:rPr>
        <w:t xml:space="preserve"> purchased power costs to be recovered from retail customers through the </w:t>
      </w:r>
      <w:r w:rsidR="00DA149F" w:rsidRPr="00DA149F">
        <w:rPr>
          <w:rFonts w:ascii="Arial" w:hAnsi="Arial" w:cs="Arial"/>
        </w:rPr>
        <w:lastRenderedPageBreak/>
        <w:t xml:space="preserve">proposed PPR rider.  </w:t>
      </w:r>
      <w:r w:rsidR="00E851A5">
        <w:rPr>
          <w:rFonts w:ascii="Arial" w:hAnsi="Arial" w:cs="Arial"/>
        </w:rPr>
        <w:t>Rather</w:t>
      </w:r>
      <w:r w:rsidR="00DA149F" w:rsidRPr="00DA149F">
        <w:rPr>
          <w:rFonts w:ascii="Arial" w:hAnsi="Arial" w:cs="Arial"/>
        </w:rPr>
        <w:t xml:space="preserve">, </w:t>
      </w:r>
      <w:r w:rsidR="00280294">
        <w:rPr>
          <w:rFonts w:ascii="Arial" w:hAnsi="Arial" w:cs="Arial"/>
        </w:rPr>
        <w:t xml:space="preserve">power </w:t>
      </w:r>
      <w:r w:rsidR="00DA149F" w:rsidRPr="00DA149F">
        <w:rPr>
          <w:rFonts w:ascii="Arial" w:hAnsi="Arial" w:cs="Arial"/>
        </w:rPr>
        <w:t>sales</w:t>
      </w:r>
      <w:r w:rsidR="00280294">
        <w:rPr>
          <w:rFonts w:ascii="Arial" w:hAnsi="Arial" w:cs="Arial"/>
        </w:rPr>
        <w:t xml:space="preserve"> </w:t>
      </w:r>
      <w:r w:rsidR="00DA149F" w:rsidRPr="00DA149F">
        <w:rPr>
          <w:rFonts w:ascii="Arial" w:hAnsi="Arial" w:cs="Arial"/>
        </w:rPr>
        <w:t xml:space="preserve">by </w:t>
      </w:r>
      <w:smartTag w:uri="urn:schemas-microsoft-com:office:smarttags" w:element="stockticker">
        <w:r w:rsidR="00DA149F" w:rsidRPr="00DA149F">
          <w:rPr>
            <w:rFonts w:ascii="Arial" w:hAnsi="Arial" w:cs="Arial"/>
          </w:rPr>
          <w:t>Cottonwood</w:t>
        </w:r>
      </w:smartTag>
      <w:r w:rsidR="00DA149F" w:rsidRPr="00DA149F">
        <w:rPr>
          <w:rFonts w:ascii="Arial" w:hAnsi="Arial" w:cs="Arial"/>
        </w:rPr>
        <w:t xml:space="preserve"> in ETI’s service territory are wholesale power sales that, as described below, are subject to the exclusive jurisdiction of the Federal Energy Regulatory Commission (FERC).</w:t>
      </w:r>
      <w:r>
        <w:rPr>
          <w:rFonts w:ascii="Arial" w:hAnsi="Arial" w:cs="Arial"/>
        </w:rPr>
        <w:t xml:space="preserve">  While Cott</w:t>
      </w:r>
      <w:r w:rsidR="00F87FEC">
        <w:rPr>
          <w:rFonts w:ascii="Arial" w:hAnsi="Arial" w:cs="Arial"/>
        </w:rPr>
        <w:t>o</w:t>
      </w:r>
      <w:r>
        <w:rPr>
          <w:rFonts w:ascii="Arial" w:hAnsi="Arial" w:cs="Arial"/>
        </w:rPr>
        <w:t xml:space="preserve">nwood alleges </w:t>
      </w:r>
      <w:r w:rsidR="00713B7D">
        <w:rPr>
          <w:rFonts w:ascii="Arial" w:hAnsi="Arial" w:cs="Arial"/>
        </w:rPr>
        <w:t xml:space="preserve">in conclusory fashion </w:t>
      </w:r>
      <w:r>
        <w:rPr>
          <w:rFonts w:ascii="Arial" w:hAnsi="Arial" w:cs="Arial"/>
        </w:rPr>
        <w:t>that “Entergy’s ability to recover cap</w:t>
      </w:r>
      <w:r w:rsidR="00AF3E4B">
        <w:rPr>
          <w:rFonts w:ascii="Arial" w:hAnsi="Arial" w:cs="Arial"/>
        </w:rPr>
        <w:t>a</w:t>
      </w:r>
      <w:r>
        <w:rPr>
          <w:rFonts w:ascii="Arial" w:hAnsi="Arial" w:cs="Arial"/>
        </w:rPr>
        <w:t>city costs and pass them through to the ratepayers has a direct effect on the economic terms it is willing to offer IPPs</w:t>
      </w:r>
      <w:r w:rsidR="00F969E5">
        <w:rPr>
          <w:rFonts w:ascii="Arial" w:hAnsi="Arial" w:cs="Arial"/>
        </w:rPr>
        <w:t>,</w:t>
      </w:r>
      <w:r>
        <w:rPr>
          <w:rFonts w:ascii="Arial" w:hAnsi="Arial" w:cs="Arial"/>
        </w:rPr>
        <w:t>”</w:t>
      </w:r>
      <w:r w:rsidR="00F969E5">
        <w:rPr>
          <w:rStyle w:val="FootnoteReference"/>
          <w:rFonts w:ascii="Arial" w:hAnsi="Arial" w:cs="Arial"/>
        </w:rPr>
        <w:footnoteReference w:id="8"/>
      </w:r>
      <w:r>
        <w:rPr>
          <w:rFonts w:ascii="Arial" w:hAnsi="Arial" w:cs="Arial"/>
        </w:rPr>
        <w:t xml:space="preserve"> Cott</w:t>
      </w:r>
      <w:r w:rsidR="00F87FEC">
        <w:rPr>
          <w:rFonts w:ascii="Arial" w:hAnsi="Arial" w:cs="Arial"/>
        </w:rPr>
        <w:t>o</w:t>
      </w:r>
      <w:r>
        <w:rPr>
          <w:rFonts w:ascii="Arial" w:hAnsi="Arial" w:cs="Arial"/>
        </w:rPr>
        <w:t xml:space="preserve">nwood does not and cannot identify any legal entitlement it has to any particular </w:t>
      </w:r>
      <w:r w:rsidR="0004094B">
        <w:rPr>
          <w:rFonts w:ascii="Arial" w:hAnsi="Arial" w:cs="Arial"/>
        </w:rPr>
        <w:t>tariff design</w:t>
      </w:r>
      <w:r w:rsidR="00497404">
        <w:rPr>
          <w:rFonts w:ascii="Arial" w:hAnsi="Arial" w:cs="Arial"/>
        </w:rPr>
        <w:t xml:space="preserve"> or economic term</w:t>
      </w:r>
      <w:r w:rsidR="00345A28">
        <w:rPr>
          <w:rFonts w:ascii="Arial" w:hAnsi="Arial" w:cs="Arial"/>
        </w:rPr>
        <w:t xml:space="preserve">.  </w:t>
      </w:r>
      <w:r w:rsidR="0005551F">
        <w:rPr>
          <w:rFonts w:ascii="Arial" w:hAnsi="Arial" w:cs="Arial"/>
        </w:rPr>
        <w:t>Cottonwood</w:t>
      </w:r>
      <w:r w:rsidR="00E851A5">
        <w:rPr>
          <w:rFonts w:ascii="Arial" w:hAnsi="Arial" w:cs="Arial"/>
        </w:rPr>
        <w:t xml:space="preserve"> </w:t>
      </w:r>
      <w:r w:rsidR="00345A28">
        <w:rPr>
          <w:rFonts w:ascii="Arial" w:hAnsi="Arial" w:cs="Arial"/>
        </w:rPr>
        <w:t xml:space="preserve">also does not explain how it </w:t>
      </w:r>
      <w:r w:rsidR="00E851A5">
        <w:rPr>
          <w:rFonts w:ascii="Arial" w:hAnsi="Arial" w:cs="Arial"/>
        </w:rPr>
        <w:t>differs from other potential wholesale power suppliers in this regard</w:t>
      </w:r>
      <w:r w:rsidR="0004094B">
        <w:rPr>
          <w:rFonts w:ascii="Arial" w:hAnsi="Arial" w:cs="Arial"/>
        </w:rPr>
        <w:t xml:space="preserve">.  </w:t>
      </w:r>
      <w:r w:rsidR="00713B7D">
        <w:rPr>
          <w:rFonts w:ascii="Arial" w:hAnsi="Arial" w:cs="Arial"/>
        </w:rPr>
        <w:t xml:space="preserve">While Cottonwood may </w:t>
      </w:r>
      <w:r w:rsidR="00EA1655">
        <w:rPr>
          <w:rFonts w:ascii="Arial" w:hAnsi="Arial" w:cs="Arial"/>
        </w:rPr>
        <w:t>have a</w:t>
      </w:r>
      <w:r w:rsidR="00DF45C4">
        <w:rPr>
          <w:rFonts w:ascii="Arial" w:hAnsi="Arial" w:cs="Arial"/>
        </w:rPr>
        <w:t xml:space="preserve"> </w:t>
      </w:r>
      <w:r w:rsidR="00EA1655">
        <w:rPr>
          <w:rFonts w:ascii="Arial" w:hAnsi="Arial" w:cs="Arial"/>
        </w:rPr>
        <w:t>self-</w:t>
      </w:r>
      <w:r w:rsidR="00F87FEC">
        <w:rPr>
          <w:rFonts w:ascii="Arial" w:hAnsi="Arial" w:cs="Arial"/>
        </w:rPr>
        <w:t xml:space="preserve">interest in advocating for a </w:t>
      </w:r>
      <w:r w:rsidR="00EA1655">
        <w:rPr>
          <w:rFonts w:ascii="Arial" w:hAnsi="Arial" w:cs="Arial"/>
        </w:rPr>
        <w:t xml:space="preserve">beneficial </w:t>
      </w:r>
      <w:r w:rsidR="00F87FEC">
        <w:rPr>
          <w:rFonts w:ascii="Arial" w:hAnsi="Arial" w:cs="Arial"/>
        </w:rPr>
        <w:t>tariff design</w:t>
      </w:r>
      <w:r w:rsidR="00497404">
        <w:rPr>
          <w:rFonts w:ascii="Arial" w:hAnsi="Arial" w:cs="Arial"/>
        </w:rPr>
        <w:t xml:space="preserve"> or economic terms that might give it a competitive advantage over other wholesale suppliers</w:t>
      </w:r>
      <w:r w:rsidR="00F87FEC">
        <w:rPr>
          <w:rFonts w:ascii="Arial" w:hAnsi="Arial" w:cs="Arial"/>
        </w:rPr>
        <w:t>, that d</w:t>
      </w:r>
      <w:r w:rsidR="00713B7D">
        <w:rPr>
          <w:rFonts w:ascii="Arial" w:hAnsi="Arial" w:cs="Arial"/>
        </w:rPr>
        <w:t>esire does</w:t>
      </w:r>
      <w:r w:rsidR="00F87FEC">
        <w:rPr>
          <w:rFonts w:ascii="Arial" w:hAnsi="Arial" w:cs="Arial"/>
        </w:rPr>
        <w:t xml:space="preserve"> not create a justi</w:t>
      </w:r>
      <w:r w:rsidR="00DF45C4">
        <w:rPr>
          <w:rFonts w:ascii="Arial" w:hAnsi="Arial" w:cs="Arial"/>
        </w:rPr>
        <w:t>ci</w:t>
      </w:r>
      <w:r w:rsidR="00F87FEC">
        <w:rPr>
          <w:rFonts w:ascii="Arial" w:hAnsi="Arial" w:cs="Arial"/>
        </w:rPr>
        <w:t>able interest.</w:t>
      </w:r>
    </w:p>
    <w:p w:rsidR="0004094B" w:rsidRDefault="00DA149F" w:rsidP="00D45CF6">
      <w:pPr>
        <w:spacing w:after="0" w:line="480" w:lineRule="auto"/>
        <w:ind w:firstLine="749"/>
        <w:jc w:val="both"/>
        <w:rPr>
          <w:rFonts w:ascii="Arial" w:hAnsi="Arial" w:cs="Arial"/>
        </w:rPr>
      </w:pPr>
      <w:r w:rsidRPr="00DA149F">
        <w:rPr>
          <w:rFonts w:ascii="Arial" w:hAnsi="Arial" w:cs="Arial"/>
        </w:rPr>
        <w:t xml:space="preserve">Likewise, the CGS rider identified by </w:t>
      </w:r>
      <w:smartTag w:uri="urn:schemas-microsoft-com:office:smarttags" w:element="stockticker">
        <w:r w:rsidRPr="00DA149F">
          <w:rPr>
            <w:rFonts w:ascii="Arial" w:hAnsi="Arial" w:cs="Arial"/>
          </w:rPr>
          <w:t>Cottonwood</w:t>
        </w:r>
      </w:smartTag>
      <w:r w:rsidRPr="00DA149F">
        <w:rPr>
          <w:rFonts w:ascii="Arial" w:hAnsi="Arial" w:cs="Arial"/>
        </w:rPr>
        <w:t xml:space="preserve"> </w:t>
      </w:r>
      <w:r w:rsidR="00E851A5">
        <w:rPr>
          <w:rFonts w:ascii="Arial" w:hAnsi="Arial" w:cs="Arial"/>
        </w:rPr>
        <w:t xml:space="preserve">as a basis for its intervention is a retail tariff that defines the relationship </w:t>
      </w:r>
      <w:r w:rsidRPr="00DA149F">
        <w:rPr>
          <w:rFonts w:ascii="Arial" w:hAnsi="Arial" w:cs="Arial"/>
        </w:rPr>
        <w:t xml:space="preserve">between ETI and the eligible retail customers that </w:t>
      </w:r>
      <w:r w:rsidR="00EA1655">
        <w:rPr>
          <w:rFonts w:ascii="Arial" w:hAnsi="Arial" w:cs="Arial"/>
        </w:rPr>
        <w:t>would</w:t>
      </w:r>
      <w:r w:rsidR="00713B7D">
        <w:rPr>
          <w:rFonts w:ascii="Arial" w:hAnsi="Arial" w:cs="Arial"/>
        </w:rPr>
        <w:t xml:space="preserve"> </w:t>
      </w:r>
      <w:r w:rsidRPr="00DA149F">
        <w:rPr>
          <w:rFonts w:ascii="Arial" w:hAnsi="Arial" w:cs="Arial"/>
        </w:rPr>
        <w:t>take</w:t>
      </w:r>
      <w:r w:rsidR="00E851A5">
        <w:rPr>
          <w:rFonts w:ascii="Arial" w:hAnsi="Arial" w:cs="Arial"/>
        </w:rPr>
        <w:t xml:space="preserve"> </w:t>
      </w:r>
      <w:r w:rsidRPr="00DA149F">
        <w:rPr>
          <w:rFonts w:ascii="Arial" w:hAnsi="Arial" w:cs="Arial"/>
        </w:rPr>
        <w:t xml:space="preserve">service under the rider.  PURA § 39.452(b) expressly provides that under the CGS, the electric utility “shall . . . provide the generation at retail to the customer.”  The law does not contemplate that Cottonwood, an independent power producer, would make direct power sales to any retail customer.  </w:t>
      </w:r>
    </w:p>
    <w:p w:rsidR="00DA149F" w:rsidRDefault="00E851A5" w:rsidP="00D45CF6">
      <w:pPr>
        <w:spacing w:after="0" w:line="480" w:lineRule="auto"/>
        <w:ind w:firstLine="749"/>
        <w:jc w:val="both"/>
        <w:rPr>
          <w:rFonts w:ascii="Arial" w:hAnsi="Arial" w:cs="Arial"/>
        </w:rPr>
      </w:pPr>
      <w:r>
        <w:rPr>
          <w:rFonts w:ascii="Arial" w:hAnsi="Arial" w:cs="Arial"/>
        </w:rPr>
        <w:t>Accordingly, a</w:t>
      </w:r>
      <w:r w:rsidR="00612B8D">
        <w:rPr>
          <w:rFonts w:ascii="Arial" w:hAnsi="Arial" w:cs="Arial"/>
        </w:rPr>
        <w:t xml:space="preserve">ny </w:t>
      </w:r>
      <w:r w:rsidR="00326F5F">
        <w:rPr>
          <w:rFonts w:ascii="Arial" w:hAnsi="Arial" w:cs="Arial"/>
        </w:rPr>
        <w:t xml:space="preserve">potential </w:t>
      </w:r>
      <w:r w:rsidR="00612B8D">
        <w:rPr>
          <w:rFonts w:ascii="Arial" w:hAnsi="Arial" w:cs="Arial"/>
        </w:rPr>
        <w:t xml:space="preserve">relationship </w:t>
      </w:r>
      <w:r w:rsidR="00326F5F">
        <w:rPr>
          <w:rFonts w:ascii="Arial" w:hAnsi="Arial" w:cs="Arial"/>
        </w:rPr>
        <w:t>between Cott</w:t>
      </w:r>
      <w:r w:rsidR="004D02CE">
        <w:rPr>
          <w:rFonts w:ascii="Arial" w:hAnsi="Arial" w:cs="Arial"/>
        </w:rPr>
        <w:t>o</w:t>
      </w:r>
      <w:r w:rsidR="00326F5F">
        <w:rPr>
          <w:rFonts w:ascii="Arial" w:hAnsi="Arial" w:cs="Arial"/>
        </w:rPr>
        <w:t xml:space="preserve">nwood and </w:t>
      </w:r>
      <w:r w:rsidR="00612B8D">
        <w:rPr>
          <w:rFonts w:ascii="Arial" w:hAnsi="Arial" w:cs="Arial"/>
        </w:rPr>
        <w:t>ETI is a wholesale matter</w:t>
      </w:r>
      <w:r w:rsidR="00DA149F" w:rsidRPr="00DA149F">
        <w:rPr>
          <w:rFonts w:ascii="Arial" w:hAnsi="Arial" w:cs="Arial"/>
        </w:rPr>
        <w:t xml:space="preserve">, which, like the transmission service relationship that was the basis for </w:t>
      </w:r>
      <w:smartTag w:uri="urn:schemas-microsoft-com:office:smarttags" w:element="stockticker">
        <w:r w:rsidR="00DA149F" w:rsidRPr="00DA149F">
          <w:rPr>
            <w:rFonts w:ascii="Arial" w:hAnsi="Arial" w:cs="Arial"/>
          </w:rPr>
          <w:t>Cottonwood</w:t>
        </w:r>
      </w:smartTag>
      <w:r w:rsidR="00DA149F" w:rsidRPr="00DA149F">
        <w:rPr>
          <w:rFonts w:ascii="Arial" w:hAnsi="Arial" w:cs="Arial"/>
        </w:rPr>
        <w:t xml:space="preserve">’s attempted intervention in Docket No. 36931, is subject to the FERC’s jurisdiction.  Under longstanding United States Supreme Court authority, the FERC exercises exclusive jurisdiction to oversee wholesale power sales in interstate </w:t>
      </w:r>
      <w:r w:rsidR="00DA149F" w:rsidRPr="00DA149F">
        <w:rPr>
          <w:rFonts w:ascii="Arial" w:hAnsi="Arial" w:cs="Arial"/>
        </w:rPr>
        <w:lastRenderedPageBreak/>
        <w:t>commerce.</w:t>
      </w:r>
      <w:r w:rsidR="00DA149F" w:rsidRPr="00DA149F">
        <w:rPr>
          <w:rStyle w:val="FootnoteReference"/>
          <w:rFonts w:ascii="Arial" w:hAnsi="Arial" w:cs="Arial"/>
        </w:rPr>
        <w:footnoteReference w:id="9"/>
      </w:r>
      <w:r w:rsidR="00DA149F" w:rsidRPr="00DA149F">
        <w:rPr>
          <w:rFonts w:ascii="Arial" w:hAnsi="Arial" w:cs="Arial"/>
        </w:rPr>
        <w:t xml:space="preserve">  The Commission exercises jurisdiction only over ETI’s retail rates, and, accordingly, the CGS rider defines only the nature of the relationship between ETI and its </w:t>
      </w:r>
      <w:r w:rsidR="000D2A44">
        <w:rPr>
          <w:rFonts w:ascii="Arial" w:hAnsi="Arial" w:cs="Arial"/>
        </w:rPr>
        <w:t xml:space="preserve">retail </w:t>
      </w:r>
      <w:r w:rsidR="00DA149F" w:rsidRPr="00DA149F">
        <w:rPr>
          <w:rFonts w:ascii="Arial" w:hAnsi="Arial" w:cs="Arial"/>
        </w:rPr>
        <w:t xml:space="preserve">customers that are eligible to take service under the CGS rider.  </w:t>
      </w:r>
    </w:p>
    <w:p w:rsidR="00C67F77" w:rsidRDefault="00713B7D" w:rsidP="00D45CF6">
      <w:pPr>
        <w:spacing w:after="0" w:line="480" w:lineRule="auto"/>
        <w:ind w:firstLine="749"/>
        <w:jc w:val="both"/>
        <w:rPr>
          <w:rFonts w:ascii="Arial" w:hAnsi="Arial" w:cs="Arial"/>
        </w:rPr>
      </w:pPr>
      <w:r>
        <w:rPr>
          <w:rFonts w:ascii="Arial" w:hAnsi="Arial" w:cs="Arial"/>
        </w:rPr>
        <w:t xml:space="preserve">Cottonwood urges that it should be allowed to intervene so that it can advocate its position on the type of wholesale suppliers who should be allowed to </w:t>
      </w:r>
      <w:r w:rsidR="001F6CEF">
        <w:rPr>
          <w:rFonts w:ascii="Arial" w:hAnsi="Arial" w:cs="Arial"/>
        </w:rPr>
        <w:t xml:space="preserve">compete to </w:t>
      </w:r>
      <w:r>
        <w:rPr>
          <w:rFonts w:ascii="Arial" w:hAnsi="Arial" w:cs="Arial"/>
        </w:rPr>
        <w:t>provide power to ETI under the CGS program.</w:t>
      </w:r>
      <w:r w:rsidR="00326F5F">
        <w:rPr>
          <w:rFonts w:ascii="Arial" w:hAnsi="Arial" w:cs="Arial"/>
        </w:rPr>
        <w:t xml:space="preserve">  </w:t>
      </w:r>
      <w:r w:rsidR="0003702E">
        <w:rPr>
          <w:rFonts w:ascii="Arial" w:hAnsi="Arial" w:cs="Arial"/>
        </w:rPr>
        <w:t xml:space="preserve">Texas courts have found, however, that </w:t>
      </w:r>
      <w:r w:rsidR="00DF45C4">
        <w:rPr>
          <w:rFonts w:ascii="Arial" w:hAnsi="Arial" w:cs="Arial"/>
        </w:rPr>
        <w:t>a</w:t>
      </w:r>
      <w:r w:rsidR="0003702E">
        <w:rPr>
          <w:rFonts w:ascii="Arial" w:hAnsi="Arial" w:cs="Arial"/>
        </w:rPr>
        <w:t xml:space="preserve"> potential competi</w:t>
      </w:r>
      <w:r w:rsidR="001F6CEF">
        <w:rPr>
          <w:rFonts w:ascii="Arial" w:hAnsi="Arial" w:cs="Arial"/>
        </w:rPr>
        <w:t xml:space="preserve">tive interest in the outcome of </w:t>
      </w:r>
      <w:r w:rsidR="0003702E">
        <w:rPr>
          <w:rFonts w:ascii="Arial" w:hAnsi="Arial" w:cs="Arial"/>
        </w:rPr>
        <w:t>a state agency proceeding does not by itself create a justiciable interest.</w:t>
      </w:r>
      <w:r w:rsidR="0003702E">
        <w:rPr>
          <w:rStyle w:val="FootnoteReference"/>
          <w:rFonts w:ascii="Arial" w:hAnsi="Arial" w:cs="Arial"/>
        </w:rPr>
        <w:footnoteReference w:id="10"/>
      </w:r>
      <w:r w:rsidR="0003702E">
        <w:rPr>
          <w:rFonts w:ascii="Arial" w:hAnsi="Arial" w:cs="Arial"/>
        </w:rPr>
        <w:t xml:space="preserve">  Moreover</w:t>
      </w:r>
      <w:r w:rsidR="000D2A44">
        <w:rPr>
          <w:rFonts w:ascii="Arial" w:hAnsi="Arial" w:cs="Arial"/>
        </w:rPr>
        <w:t>,</w:t>
      </w:r>
      <w:r w:rsidR="00326F5F">
        <w:rPr>
          <w:rFonts w:ascii="Arial" w:hAnsi="Arial" w:cs="Arial"/>
        </w:rPr>
        <w:t xml:space="preserve"> it is the </w:t>
      </w:r>
      <w:r w:rsidR="004D02CE">
        <w:rPr>
          <w:rFonts w:ascii="Arial" w:hAnsi="Arial" w:cs="Arial"/>
        </w:rPr>
        <w:t>eligible</w:t>
      </w:r>
      <w:r w:rsidR="002D0AA2">
        <w:rPr>
          <w:rFonts w:ascii="Arial" w:hAnsi="Arial" w:cs="Arial"/>
        </w:rPr>
        <w:t xml:space="preserve"> </w:t>
      </w:r>
      <w:r w:rsidR="00E851A5">
        <w:rPr>
          <w:rFonts w:ascii="Arial" w:hAnsi="Arial" w:cs="Arial"/>
        </w:rPr>
        <w:t xml:space="preserve">retail </w:t>
      </w:r>
      <w:r w:rsidR="002D0AA2">
        <w:rPr>
          <w:rFonts w:ascii="Arial" w:hAnsi="Arial" w:cs="Arial"/>
        </w:rPr>
        <w:t>customers</w:t>
      </w:r>
      <w:r w:rsidR="00326F5F">
        <w:rPr>
          <w:rFonts w:ascii="Arial" w:hAnsi="Arial" w:cs="Arial"/>
        </w:rPr>
        <w:t xml:space="preserve"> who </w:t>
      </w:r>
      <w:r w:rsidR="00C67F77">
        <w:rPr>
          <w:rFonts w:ascii="Arial" w:hAnsi="Arial" w:cs="Arial"/>
        </w:rPr>
        <w:t>will</w:t>
      </w:r>
      <w:r w:rsidR="00E75D14">
        <w:rPr>
          <w:rFonts w:ascii="Arial" w:hAnsi="Arial" w:cs="Arial"/>
        </w:rPr>
        <w:t>,</w:t>
      </w:r>
      <w:r w:rsidR="00C67F77">
        <w:rPr>
          <w:rFonts w:ascii="Arial" w:hAnsi="Arial" w:cs="Arial"/>
        </w:rPr>
        <w:t xml:space="preserve"> </w:t>
      </w:r>
      <w:r w:rsidR="002D0AA2">
        <w:rPr>
          <w:rFonts w:ascii="Arial" w:hAnsi="Arial" w:cs="Arial"/>
        </w:rPr>
        <w:t xml:space="preserve">under PURA </w:t>
      </w:r>
      <w:r w:rsidR="005D18E9">
        <w:rPr>
          <w:rFonts w:ascii="Arial" w:hAnsi="Arial" w:cs="Arial"/>
        </w:rPr>
        <w:t xml:space="preserve">§ </w:t>
      </w:r>
      <w:r w:rsidR="002D0AA2">
        <w:rPr>
          <w:rFonts w:ascii="Arial" w:hAnsi="Arial" w:cs="Arial"/>
        </w:rPr>
        <w:t>39.452</w:t>
      </w:r>
      <w:r w:rsidR="00E75D14">
        <w:rPr>
          <w:rFonts w:ascii="Arial" w:hAnsi="Arial" w:cs="Arial"/>
        </w:rPr>
        <w:t>,</w:t>
      </w:r>
      <w:r w:rsidR="002D0AA2">
        <w:rPr>
          <w:rFonts w:ascii="Arial" w:hAnsi="Arial" w:cs="Arial"/>
        </w:rPr>
        <w:t xml:space="preserve"> </w:t>
      </w:r>
      <w:r w:rsidR="00326F5F">
        <w:rPr>
          <w:rFonts w:ascii="Arial" w:hAnsi="Arial" w:cs="Arial"/>
        </w:rPr>
        <w:t xml:space="preserve">select </w:t>
      </w:r>
      <w:r w:rsidR="00EA1655">
        <w:rPr>
          <w:rFonts w:ascii="Arial" w:hAnsi="Arial" w:cs="Arial"/>
        </w:rPr>
        <w:t>competitive generation service</w:t>
      </w:r>
      <w:r w:rsidR="00326F5F">
        <w:rPr>
          <w:rFonts w:ascii="Arial" w:hAnsi="Arial" w:cs="Arial"/>
        </w:rPr>
        <w:t>, not Cottonwood</w:t>
      </w:r>
      <w:r w:rsidR="005D18E9">
        <w:rPr>
          <w:rFonts w:ascii="Arial" w:hAnsi="Arial" w:cs="Arial"/>
        </w:rPr>
        <w:t>.  C</w:t>
      </w:r>
      <w:r w:rsidR="00326F5F">
        <w:rPr>
          <w:rFonts w:ascii="Arial" w:hAnsi="Arial" w:cs="Arial"/>
        </w:rPr>
        <w:t>ustomer</w:t>
      </w:r>
      <w:r w:rsidR="002D0AA2">
        <w:rPr>
          <w:rFonts w:ascii="Arial" w:hAnsi="Arial" w:cs="Arial"/>
        </w:rPr>
        <w:t xml:space="preserve"> group</w:t>
      </w:r>
      <w:r w:rsidR="00326F5F">
        <w:rPr>
          <w:rFonts w:ascii="Arial" w:hAnsi="Arial" w:cs="Arial"/>
        </w:rPr>
        <w:t xml:space="preserve">s are </w:t>
      </w:r>
      <w:r w:rsidR="002D0AA2">
        <w:rPr>
          <w:rFonts w:ascii="Arial" w:hAnsi="Arial" w:cs="Arial"/>
        </w:rPr>
        <w:t xml:space="preserve">already </w:t>
      </w:r>
      <w:r w:rsidR="00326F5F">
        <w:rPr>
          <w:rFonts w:ascii="Arial" w:hAnsi="Arial" w:cs="Arial"/>
        </w:rPr>
        <w:t>represented by a number of intervenors in this docket</w:t>
      </w:r>
      <w:r w:rsidR="00C67F77">
        <w:rPr>
          <w:rFonts w:ascii="Arial" w:hAnsi="Arial" w:cs="Arial"/>
        </w:rPr>
        <w:t xml:space="preserve"> who have a justiciable interest in the outcome of the proceeding and </w:t>
      </w:r>
      <w:r w:rsidR="00345A28">
        <w:rPr>
          <w:rFonts w:ascii="Arial" w:hAnsi="Arial" w:cs="Arial"/>
        </w:rPr>
        <w:t xml:space="preserve">who </w:t>
      </w:r>
      <w:r w:rsidR="00C67F77">
        <w:rPr>
          <w:rFonts w:ascii="Arial" w:hAnsi="Arial" w:cs="Arial"/>
        </w:rPr>
        <w:t>will be able to advocate any number of designs for the CGS program</w:t>
      </w:r>
      <w:r w:rsidR="00C8680A">
        <w:rPr>
          <w:rFonts w:ascii="Arial" w:hAnsi="Arial" w:cs="Arial"/>
        </w:rPr>
        <w:t xml:space="preserve">.  </w:t>
      </w:r>
    </w:p>
    <w:p w:rsidR="0004094B" w:rsidRDefault="0004094B" w:rsidP="00A0794A">
      <w:pPr>
        <w:pStyle w:val="Level3"/>
        <w:spacing w:line="240" w:lineRule="auto"/>
      </w:pPr>
      <w:bookmarkStart w:id="5" w:name="_Toc254695649"/>
      <w:r w:rsidRPr="006F21D8">
        <w:t>Opening the Door to Interventions by Other Wholesale Suppliers</w:t>
      </w:r>
      <w:r w:rsidR="0003702E" w:rsidRPr="006F21D8">
        <w:t xml:space="preserve"> Would Be Bad Policy.</w:t>
      </w:r>
      <w:bookmarkEnd w:id="5"/>
    </w:p>
    <w:p w:rsidR="00A0794A" w:rsidRPr="006F21D8" w:rsidRDefault="00A0794A" w:rsidP="00A0794A">
      <w:pPr>
        <w:pStyle w:val="Level3"/>
        <w:numPr>
          <w:ilvl w:val="0"/>
          <w:numId w:val="0"/>
        </w:numPr>
        <w:spacing w:line="240" w:lineRule="auto"/>
        <w:ind w:left="1440"/>
      </w:pPr>
    </w:p>
    <w:p w:rsidR="00DA149F" w:rsidRDefault="00C8680A" w:rsidP="00D45CF6">
      <w:pPr>
        <w:spacing w:after="0" w:line="480" w:lineRule="auto"/>
        <w:ind w:firstLine="749"/>
        <w:jc w:val="both"/>
        <w:rPr>
          <w:rFonts w:ascii="Arial" w:hAnsi="Arial" w:cs="Arial"/>
        </w:rPr>
      </w:pPr>
      <w:r>
        <w:rPr>
          <w:rFonts w:ascii="Arial" w:hAnsi="Arial" w:cs="Arial"/>
        </w:rPr>
        <w:t>G</w:t>
      </w:r>
      <w:r w:rsidR="00DA149F" w:rsidRPr="00DA149F">
        <w:rPr>
          <w:rFonts w:ascii="Arial" w:hAnsi="Arial" w:cs="Arial"/>
        </w:rPr>
        <w:t xml:space="preserve">ranting </w:t>
      </w:r>
      <w:smartTag w:uri="urn:schemas-microsoft-com:office:smarttags" w:element="stockticker">
        <w:r w:rsidR="00DA149F" w:rsidRPr="00DA149F">
          <w:rPr>
            <w:rFonts w:ascii="Arial" w:hAnsi="Arial" w:cs="Arial"/>
          </w:rPr>
          <w:t>Cottonwood</w:t>
        </w:r>
      </w:smartTag>
      <w:r w:rsidR="00DA149F" w:rsidRPr="00DA149F">
        <w:rPr>
          <w:rFonts w:ascii="Arial" w:hAnsi="Arial" w:cs="Arial"/>
        </w:rPr>
        <w:t xml:space="preserve">’s intervention would open the door to allowing </w:t>
      </w:r>
      <w:r>
        <w:rPr>
          <w:rFonts w:ascii="Arial" w:hAnsi="Arial" w:cs="Arial"/>
        </w:rPr>
        <w:t>other</w:t>
      </w:r>
      <w:r w:rsidR="00DA149F" w:rsidRPr="00DA149F">
        <w:rPr>
          <w:rFonts w:ascii="Arial" w:hAnsi="Arial" w:cs="Arial"/>
        </w:rPr>
        <w:t xml:space="preserve"> </w:t>
      </w:r>
      <w:r w:rsidR="00280294">
        <w:rPr>
          <w:rFonts w:ascii="Arial" w:hAnsi="Arial" w:cs="Arial"/>
        </w:rPr>
        <w:t>potent</w:t>
      </w:r>
      <w:r w:rsidR="00E75D14">
        <w:rPr>
          <w:rFonts w:ascii="Arial" w:hAnsi="Arial" w:cs="Arial"/>
        </w:rPr>
        <w:t>i</w:t>
      </w:r>
      <w:r w:rsidR="00280294">
        <w:rPr>
          <w:rFonts w:ascii="Arial" w:hAnsi="Arial" w:cs="Arial"/>
        </w:rPr>
        <w:t>al</w:t>
      </w:r>
      <w:r w:rsidR="00DA149F" w:rsidRPr="00DA149F">
        <w:rPr>
          <w:rFonts w:ascii="Arial" w:hAnsi="Arial" w:cs="Arial"/>
        </w:rPr>
        <w:t xml:space="preserve"> utility vendors to intervene in the utility’s retail rate cases based on speculation about the tangential impacts of retail rate schedules on their business activities.  The Commission should reject such an expansive approach to standing because allowing intervention based merely on a general interest in the case would eviscerate the clear </w:t>
      </w:r>
      <w:r w:rsidR="00DA149F" w:rsidRPr="00DA149F">
        <w:rPr>
          <w:rFonts w:ascii="Arial" w:hAnsi="Arial" w:cs="Arial"/>
        </w:rPr>
        <w:lastRenderedPageBreak/>
        <w:t>and well established requirement that intervenors demonstrate a legal right that would be affected by the retail rate determinations to be made.</w:t>
      </w:r>
    </w:p>
    <w:p w:rsidR="00D305F3" w:rsidRPr="00DA149F" w:rsidRDefault="00D305F3" w:rsidP="00D45CF6">
      <w:pPr>
        <w:spacing w:after="0" w:line="480" w:lineRule="auto"/>
        <w:ind w:firstLine="749"/>
        <w:jc w:val="both"/>
        <w:rPr>
          <w:rFonts w:ascii="Arial" w:hAnsi="Arial" w:cs="Arial"/>
        </w:rPr>
      </w:pPr>
      <w:r>
        <w:rPr>
          <w:rFonts w:ascii="Arial" w:hAnsi="Arial" w:cs="Arial"/>
        </w:rPr>
        <w:t xml:space="preserve">For example, </w:t>
      </w:r>
      <w:r w:rsidR="006209E6">
        <w:rPr>
          <w:rFonts w:ascii="Arial" w:hAnsi="Arial" w:cs="Arial"/>
        </w:rPr>
        <w:t>i</w:t>
      </w:r>
      <w:r w:rsidR="00280294">
        <w:rPr>
          <w:rFonts w:ascii="Arial" w:hAnsi="Arial" w:cs="Arial"/>
        </w:rPr>
        <w:t xml:space="preserve">f Cottonwood’s intervention is allowed, </w:t>
      </w:r>
      <w:r w:rsidR="006209E6">
        <w:rPr>
          <w:rFonts w:ascii="Arial" w:hAnsi="Arial" w:cs="Arial"/>
        </w:rPr>
        <w:t xml:space="preserve">this precedent could </w:t>
      </w:r>
      <w:r w:rsidR="00280294">
        <w:rPr>
          <w:rFonts w:ascii="Arial" w:hAnsi="Arial" w:cs="Arial"/>
        </w:rPr>
        <w:t>potential</w:t>
      </w:r>
      <w:r w:rsidR="00345A28">
        <w:rPr>
          <w:rFonts w:ascii="Arial" w:hAnsi="Arial" w:cs="Arial"/>
        </w:rPr>
        <w:t>ly open the door for co</w:t>
      </w:r>
      <w:r>
        <w:rPr>
          <w:rFonts w:ascii="Arial" w:hAnsi="Arial" w:cs="Arial"/>
        </w:rPr>
        <w:t xml:space="preserve">al and gas suppliers </w:t>
      </w:r>
      <w:r w:rsidR="00345A28">
        <w:rPr>
          <w:rFonts w:ascii="Arial" w:hAnsi="Arial" w:cs="Arial"/>
        </w:rPr>
        <w:t xml:space="preserve">to </w:t>
      </w:r>
      <w:r w:rsidR="00280294">
        <w:rPr>
          <w:rFonts w:ascii="Arial" w:hAnsi="Arial" w:cs="Arial"/>
        </w:rPr>
        <w:t>seek</w:t>
      </w:r>
      <w:r>
        <w:rPr>
          <w:rFonts w:ascii="Arial" w:hAnsi="Arial" w:cs="Arial"/>
        </w:rPr>
        <w:t xml:space="preserve"> to intervene in fuel reconcil</w:t>
      </w:r>
      <w:r w:rsidR="003264EF">
        <w:rPr>
          <w:rFonts w:ascii="Arial" w:hAnsi="Arial" w:cs="Arial"/>
        </w:rPr>
        <w:t>i</w:t>
      </w:r>
      <w:r>
        <w:rPr>
          <w:rFonts w:ascii="Arial" w:hAnsi="Arial" w:cs="Arial"/>
        </w:rPr>
        <w:t xml:space="preserve">ations and </w:t>
      </w:r>
      <w:r w:rsidR="003264EF">
        <w:rPr>
          <w:rFonts w:ascii="Arial" w:hAnsi="Arial" w:cs="Arial"/>
        </w:rPr>
        <w:t>other fuel-related proceedings</w:t>
      </w:r>
      <w:r>
        <w:rPr>
          <w:rFonts w:ascii="Arial" w:hAnsi="Arial" w:cs="Arial"/>
        </w:rPr>
        <w:t xml:space="preserve"> because the decision</w:t>
      </w:r>
      <w:r w:rsidR="003264EF">
        <w:rPr>
          <w:rFonts w:ascii="Arial" w:hAnsi="Arial" w:cs="Arial"/>
        </w:rPr>
        <w:t>s</w:t>
      </w:r>
      <w:r>
        <w:rPr>
          <w:rFonts w:ascii="Arial" w:hAnsi="Arial" w:cs="Arial"/>
        </w:rPr>
        <w:t xml:space="preserve"> in those cases might affect </w:t>
      </w:r>
      <w:r w:rsidR="00280294">
        <w:rPr>
          <w:rFonts w:ascii="Arial" w:hAnsi="Arial" w:cs="Arial"/>
        </w:rPr>
        <w:t>the</w:t>
      </w:r>
      <w:r>
        <w:rPr>
          <w:rFonts w:ascii="Arial" w:hAnsi="Arial" w:cs="Arial"/>
        </w:rPr>
        <w:t xml:space="preserve"> utility’s purchasing practices with those suppliers</w:t>
      </w:r>
      <w:r w:rsidR="00280294">
        <w:rPr>
          <w:rFonts w:ascii="Arial" w:hAnsi="Arial" w:cs="Arial"/>
        </w:rPr>
        <w:t>.</w:t>
      </w:r>
      <w:r>
        <w:rPr>
          <w:rFonts w:ascii="Arial" w:hAnsi="Arial" w:cs="Arial"/>
        </w:rPr>
        <w:t xml:space="preserve">  Simila</w:t>
      </w:r>
      <w:r w:rsidR="00F87FEC">
        <w:rPr>
          <w:rFonts w:ascii="Arial" w:hAnsi="Arial" w:cs="Arial"/>
        </w:rPr>
        <w:t>rly,</w:t>
      </w:r>
      <w:r w:rsidR="003264EF">
        <w:rPr>
          <w:rFonts w:ascii="Arial" w:hAnsi="Arial" w:cs="Arial"/>
        </w:rPr>
        <w:t xml:space="preserve"> GE Energy might </w:t>
      </w:r>
      <w:r w:rsidR="00F87FEC">
        <w:rPr>
          <w:rFonts w:ascii="Arial" w:hAnsi="Arial" w:cs="Arial"/>
        </w:rPr>
        <w:t xml:space="preserve">be very interested in </w:t>
      </w:r>
      <w:r w:rsidR="003264EF">
        <w:rPr>
          <w:rFonts w:ascii="Arial" w:hAnsi="Arial" w:cs="Arial"/>
        </w:rPr>
        <w:t>inter</w:t>
      </w:r>
      <w:r>
        <w:rPr>
          <w:rFonts w:ascii="Arial" w:hAnsi="Arial" w:cs="Arial"/>
        </w:rPr>
        <w:t>ve</w:t>
      </w:r>
      <w:r w:rsidR="003264EF">
        <w:rPr>
          <w:rFonts w:ascii="Arial" w:hAnsi="Arial" w:cs="Arial"/>
        </w:rPr>
        <w:t>n</w:t>
      </w:r>
      <w:r w:rsidR="00F87FEC">
        <w:rPr>
          <w:rFonts w:ascii="Arial" w:hAnsi="Arial" w:cs="Arial"/>
        </w:rPr>
        <w:t>ing</w:t>
      </w:r>
      <w:r>
        <w:rPr>
          <w:rFonts w:ascii="Arial" w:hAnsi="Arial" w:cs="Arial"/>
        </w:rPr>
        <w:t xml:space="preserve"> as a </w:t>
      </w:r>
      <w:r w:rsidR="00F3536B">
        <w:rPr>
          <w:rFonts w:ascii="Arial" w:hAnsi="Arial" w:cs="Arial"/>
        </w:rPr>
        <w:t xml:space="preserve">coal generation equipment </w:t>
      </w:r>
      <w:r>
        <w:rPr>
          <w:rFonts w:ascii="Arial" w:hAnsi="Arial" w:cs="Arial"/>
        </w:rPr>
        <w:t xml:space="preserve">manufacturer and supplier </w:t>
      </w:r>
      <w:r w:rsidR="00F87FEC">
        <w:rPr>
          <w:rFonts w:ascii="Arial" w:hAnsi="Arial" w:cs="Arial"/>
        </w:rPr>
        <w:t xml:space="preserve">in utility rate cases </w:t>
      </w:r>
      <w:r>
        <w:rPr>
          <w:rFonts w:ascii="Arial" w:hAnsi="Arial" w:cs="Arial"/>
        </w:rPr>
        <w:t xml:space="preserve">because </w:t>
      </w:r>
      <w:r w:rsidR="00F87FEC">
        <w:rPr>
          <w:rFonts w:ascii="Arial" w:hAnsi="Arial" w:cs="Arial"/>
        </w:rPr>
        <w:t>GE’s</w:t>
      </w:r>
      <w:r w:rsidR="003264EF">
        <w:rPr>
          <w:rFonts w:ascii="Arial" w:hAnsi="Arial" w:cs="Arial"/>
        </w:rPr>
        <w:t xml:space="preserve"> </w:t>
      </w:r>
      <w:r w:rsidR="00C8680A">
        <w:rPr>
          <w:rFonts w:ascii="Arial" w:hAnsi="Arial" w:cs="Arial"/>
        </w:rPr>
        <w:t>desires</w:t>
      </w:r>
      <w:r w:rsidR="003264EF">
        <w:rPr>
          <w:rFonts w:ascii="Arial" w:hAnsi="Arial" w:cs="Arial"/>
        </w:rPr>
        <w:t xml:space="preserve"> to supply utilities with </w:t>
      </w:r>
      <w:r w:rsidR="00F87FEC">
        <w:rPr>
          <w:rFonts w:ascii="Arial" w:hAnsi="Arial" w:cs="Arial"/>
        </w:rPr>
        <w:t>GE</w:t>
      </w:r>
      <w:r w:rsidR="003264EF">
        <w:rPr>
          <w:rFonts w:ascii="Arial" w:hAnsi="Arial" w:cs="Arial"/>
        </w:rPr>
        <w:t xml:space="preserve"> equipment</w:t>
      </w:r>
      <w:r>
        <w:rPr>
          <w:rFonts w:ascii="Arial" w:hAnsi="Arial" w:cs="Arial"/>
        </w:rPr>
        <w:t xml:space="preserve"> might be </w:t>
      </w:r>
      <w:r w:rsidR="003264EF">
        <w:rPr>
          <w:rFonts w:ascii="Arial" w:hAnsi="Arial" w:cs="Arial"/>
        </w:rPr>
        <w:t xml:space="preserve">adversely </w:t>
      </w:r>
      <w:r>
        <w:rPr>
          <w:rFonts w:ascii="Arial" w:hAnsi="Arial" w:cs="Arial"/>
        </w:rPr>
        <w:t xml:space="preserve">affected by cost recovery decisions in the rate cases of its utility clients.  </w:t>
      </w:r>
      <w:r w:rsidR="00AF3E4B">
        <w:rPr>
          <w:rFonts w:ascii="Arial" w:hAnsi="Arial" w:cs="Arial"/>
        </w:rPr>
        <w:t xml:space="preserve">Competing suppliers might seek to intervene to argue for tariff terms that </w:t>
      </w:r>
      <w:r w:rsidR="00AF3E8D">
        <w:rPr>
          <w:rFonts w:ascii="Arial" w:hAnsi="Arial" w:cs="Arial"/>
        </w:rPr>
        <w:t>would</w:t>
      </w:r>
      <w:r w:rsidR="00AF3E4B">
        <w:rPr>
          <w:rFonts w:ascii="Arial" w:hAnsi="Arial" w:cs="Arial"/>
        </w:rPr>
        <w:t xml:space="preserve"> be more favorable to one or the other</w:t>
      </w:r>
      <w:r w:rsidR="00280294">
        <w:rPr>
          <w:rFonts w:ascii="Arial" w:hAnsi="Arial" w:cs="Arial"/>
        </w:rPr>
        <w:t xml:space="preserve"> and hold up settlement among the other parties due to issues wholly unrelated to the retail rates at issue</w:t>
      </w:r>
      <w:r w:rsidR="00AF3E4B">
        <w:rPr>
          <w:rFonts w:ascii="Arial" w:hAnsi="Arial" w:cs="Arial"/>
        </w:rPr>
        <w:t xml:space="preserve">.  </w:t>
      </w:r>
      <w:r w:rsidR="00E76B90">
        <w:rPr>
          <w:rFonts w:ascii="Arial" w:hAnsi="Arial" w:cs="Arial"/>
        </w:rPr>
        <w:t xml:space="preserve">To avoid proceeding down this path, the Commission should deny </w:t>
      </w:r>
      <w:r w:rsidR="0024285A">
        <w:rPr>
          <w:rFonts w:ascii="Arial" w:hAnsi="Arial" w:cs="Arial"/>
        </w:rPr>
        <w:t xml:space="preserve">the </w:t>
      </w:r>
      <w:r w:rsidR="00E76B90">
        <w:rPr>
          <w:rFonts w:ascii="Arial" w:hAnsi="Arial" w:cs="Arial"/>
        </w:rPr>
        <w:t xml:space="preserve">Cottonwood </w:t>
      </w:r>
      <w:r w:rsidR="0024285A">
        <w:rPr>
          <w:rFonts w:ascii="Arial" w:hAnsi="Arial" w:cs="Arial"/>
        </w:rPr>
        <w:t>A</w:t>
      </w:r>
      <w:r w:rsidR="00E76B90">
        <w:rPr>
          <w:rFonts w:ascii="Arial" w:hAnsi="Arial" w:cs="Arial"/>
        </w:rPr>
        <w:t xml:space="preserve">ppeal and intervention. </w:t>
      </w:r>
    </w:p>
    <w:p w:rsidR="00DA149F" w:rsidRPr="00DA149F" w:rsidRDefault="00DA149F" w:rsidP="00D04EC3">
      <w:pPr>
        <w:pStyle w:val="Level2"/>
      </w:pPr>
      <w:bookmarkStart w:id="6" w:name="_Toc254695650"/>
      <w:r w:rsidRPr="00DA149F">
        <w:t>Commission Precedent Precludes Cottonwood’s Intervention.</w:t>
      </w:r>
      <w:bookmarkEnd w:id="6"/>
    </w:p>
    <w:p w:rsidR="001273E3" w:rsidRDefault="001273E3" w:rsidP="00D45CF6">
      <w:pPr>
        <w:spacing w:after="0" w:line="480" w:lineRule="auto"/>
        <w:ind w:firstLine="749"/>
        <w:jc w:val="both"/>
        <w:rPr>
          <w:rFonts w:ascii="Arial" w:hAnsi="Arial" w:cs="Arial"/>
        </w:rPr>
      </w:pPr>
      <w:r>
        <w:rPr>
          <w:rFonts w:ascii="Arial" w:hAnsi="Arial" w:cs="Arial"/>
        </w:rPr>
        <w:t xml:space="preserve">Cottonwood argues in its appeal that none of the Commission precedent previously cited by ETI is controlling.  </w:t>
      </w:r>
      <w:r w:rsidR="00F627FD">
        <w:rPr>
          <w:rFonts w:ascii="Arial" w:hAnsi="Arial" w:cs="Arial"/>
        </w:rPr>
        <w:t xml:space="preserve">Contrary to </w:t>
      </w:r>
      <w:r>
        <w:rPr>
          <w:rFonts w:ascii="Arial" w:hAnsi="Arial" w:cs="Arial"/>
        </w:rPr>
        <w:t>Cottonwood</w:t>
      </w:r>
      <w:r w:rsidR="00F627FD">
        <w:rPr>
          <w:rFonts w:ascii="Arial" w:hAnsi="Arial" w:cs="Arial"/>
        </w:rPr>
        <w:t>’s position, t</w:t>
      </w:r>
      <w:r>
        <w:rPr>
          <w:rFonts w:ascii="Arial" w:hAnsi="Arial" w:cs="Arial"/>
        </w:rPr>
        <w:t xml:space="preserve">he Commission precedent previously cited by ETI and discussed below is directly on point, founded upon well-established Texas case law principles, and precludes Cottonwood’s intervention in this case as well. </w:t>
      </w:r>
    </w:p>
    <w:p w:rsidR="00EF1BBF" w:rsidRPr="00EF1BBF" w:rsidRDefault="00EF1BBF" w:rsidP="00A0794A">
      <w:pPr>
        <w:pStyle w:val="Level3"/>
      </w:pPr>
      <w:bookmarkStart w:id="7" w:name="_Toc254695651"/>
      <w:r w:rsidRPr="00EF1BBF">
        <w:t xml:space="preserve">Docket </w:t>
      </w:r>
      <w:r w:rsidR="00EA1655">
        <w:t xml:space="preserve">No. </w:t>
      </w:r>
      <w:r w:rsidRPr="00EF1BBF">
        <w:t>34298</w:t>
      </w:r>
      <w:bookmarkEnd w:id="7"/>
    </w:p>
    <w:p w:rsidR="00C8680A" w:rsidRDefault="001403CF" w:rsidP="00D45CF6">
      <w:pPr>
        <w:spacing w:after="0" w:line="480" w:lineRule="auto"/>
        <w:ind w:firstLine="749"/>
        <w:jc w:val="both"/>
        <w:rPr>
          <w:rFonts w:ascii="Arial" w:hAnsi="Arial" w:cs="Arial"/>
        </w:rPr>
      </w:pPr>
      <w:r>
        <w:rPr>
          <w:rFonts w:ascii="Arial" w:hAnsi="Arial" w:cs="Arial"/>
        </w:rPr>
        <w:t>C</w:t>
      </w:r>
      <w:r w:rsidR="00C8680A" w:rsidRPr="00A65F86">
        <w:rPr>
          <w:rFonts w:ascii="Arial" w:hAnsi="Arial" w:cs="Arial"/>
        </w:rPr>
        <w:t>ott</w:t>
      </w:r>
      <w:r w:rsidR="00C8680A">
        <w:rPr>
          <w:rFonts w:ascii="Arial" w:hAnsi="Arial" w:cs="Arial"/>
        </w:rPr>
        <w:t>onwood criticizes the fact that ETI cites to a CCN proceeding, Docket No. 34298, in stating the legal standard for standing, implying that such standard applies only in CCN proceedings.</w:t>
      </w:r>
      <w:r w:rsidR="00C8680A" w:rsidRPr="00A65F86">
        <w:rPr>
          <w:rFonts w:ascii="Arial" w:hAnsi="Arial" w:cs="Arial"/>
        </w:rPr>
        <w:t xml:space="preserve"> </w:t>
      </w:r>
      <w:r w:rsidR="00C8680A">
        <w:rPr>
          <w:rFonts w:ascii="Arial" w:hAnsi="Arial" w:cs="Arial"/>
        </w:rPr>
        <w:t xml:space="preserve"> However, when the Commission stated in Docket No. 34298 </w:t>
      </w:r>
      <w:r w:rsidR="00C8680A">
        <w:rPr>
          <w:rFonts w:ascii="Arial" w:hAnsi="Arial" w:cs="Arial"/>
        </w:rPr>
        <w:lastRenderedPageBreak/>
        <w:t>that a</w:t>
      </w:r>
      <w:r w:rsidR="00C8680A" w:rsidRPr="00DA149F">
        <w:rPr>
          <w:rFonts w:ascii="Arial" w:hAnsi="Arial" w:cs="Arial"/>
        </w:rPr>
        <w:t xml:space="preserve"> justiciable interest is </w:t>
      </w:r>
      <w:r w:rsidR="00C8680A">
        <w:rPr>
          <w:rFonts w:ascii="Arial" w:hAnsi="Arial" w:cs="Arial"/>
        </w:rPr>
        <w:t>“</w:t>
      </w:r>
      <w:r w:rsidR="00C8680A" w:rsidRPr="00DA149F">
        <w:rPr>
          <w:rFonts w:ascii="Arial" w:hAnsi="Arial" w:cs="Arial"/>
        </w:rPr>
        <w:t>a legal right, namely a property right, belonging to the intervenor that may be harmed by the outcome of the proceeding in question</w:t>
      </w:r>
      <w:r w:rsidR="00C8680A">
        <w:rPr>
          <w:rFonts w:ascii="Arial" w:hAnsi="Arial" w:cs="Arial"/>
        </w:rPr>
        <w:t>,”</w:t>
      </w:r>
      <w:r w:rsidR="00C8680A" w:rsidRPr="00DA149F">
        <w:rPr>
          <w:rStyle w:val="FootnoteReference"/>
          <w:rFonts w:ascii="Arial" w:hAnsi="Arial" w:cs="Arial"/>
        </w:rPr>
        <w:footnoteReference w:id="11"/>
      </w:r>
      <w:r w:rsidR="00C8680A">
        <w:rPr>
          <w:rFonts w:ascii="Arial" w:hAnsi="Arial" w:cs="Arial"/>
        </w:rPr>
        <w:t xml:space="preserve"> it based its statement on well-established standards in Texas case law, not merely on other CCN proceedings.</w:t>
      </w:r>
      <w:r w:rsidR="00C8680A">
        <w:rPr>
          <w:rStyle w:val="FootnoteReference"/>
          <w:rFonts w:ascii="Arial" w:hAnsi="Arial" w:cs="Arial"/>
        </w:rPr>
        <w:footnoteReference w:id="12"/>
      </w:r>
      <w:r w:rsidR="00C8680A">
        <w:rPr>
          <w:rFonts w:ascii="Arial" w:hAnsi="Arial" w:cs="Arial"/>
        </w:rPr>
        <w:t xml:space="preserve">  </w:t>
      </w:r>
      <w:r w:rsidR="00280294">
        <w:rPr>
          <w:rFonts w:ascii="Arial" w:hAnsi="Arial" w:cs="Arial"/>
        </w:rPr>
        <w:t>Thus, t</w:t>
      </w:r>
      <w:r w:rsidR="00C8680A">
        <w:rPr>
          <w:rFonts w:ascii="Arial" w:hAnsi="Arial" w:cs="Arial"/>
        </w:rPr>
        <w:t>o suggest that this standard for standing is limited to CCN proceedings is wholly incorrect.</w:t>
      </w:r>
      <w:r w:rsidR="00F627FD">
        <w:rPr>
          <w:rFonts w:ascii="Arial" w:hAnsi="Arial" w:cs="Arial"/>
        </w:rPr>
        <w:t xml:space="preserve">  Moreover, the grant of intervention to parties in th</w:t>
      </w:r>
      <w:r>
        <w:rPr>
          <w:rFonts w:ascii="Arial" w:hAnsi="Arial" w:cs="Arial"/>
        </w:rPr>
        <w:t>e present</w:t>
      </w:r>
      <w:r w:rsidR="00F627FD">
        <w:rPr>
          <w:rFonts w:ascii="Arial" w:hAnsi="Arial" w:cs="Arial"/>
        </w:rPr>
        <w:t xml:space="preserve"> case well illustrates the implementation of the general standard framed up in Docket No. 34298; in each instance, the parties allowed to intervene in this case have a statutory and </w:t>
      </w:r>
      <w:r w:rsidR="00026642">
        <w:rPr>
          <w:rFonts w:ascii="Arial" w:hAnsi="Arial" w:cs="Arial"/>
        </w:rPr>
        <w:t>regulatory</w:t>
      </w:r>
      <w:r w:rsidR="00F627FD">
        <w:rPr>
          <w:rFonts w:ascii="Arial" w:hAnsi="Arial" w:cs="Arial"/>
        </w:rPr>
        <w:t xml:space="preserve"> prescribed relationship with ETI that will be directly affected by the outcome of the case.  Cottonwood has alleged no such interest.</w:t>
      </w:r>
    </w:p>
    <w:p w:rsidR="00EF1BBF" w:rsidRPr="00EF1BBF" w:rsidRDefault="00EF1BBF" w:rsidP="00A0794A">
      <w:pPr>
        <w:pStyle w:val="Level3"/>
      </w:pPr>
      <w:bookmarkStart w:id="8" w:name="_Toc254695652"/>
      <w:r w:rsidRPr="00EF1BBF">
        <w:t xml:space="preserve">Docket </w:t>
      </w:r>
      <w:r w:rsidR="00DF45C4">
        <w:t xml:space="preserve">No. </w:t>
      </w:r>
      <w:r w:rsidRPr="00EF1BBF">
        <w:t>36931</w:t>
      </w:r>
      <w:bookmarkEnd w:id="8"/>
    </w:p>
    <w:p w:rsidR="00E75D14" w:rsidRDefault="001403CF" w:rsidP="00D45CF6">
      <w:pPr>
        <w:spacing w:after="0" w:line="480" w:lineRule="auto"/>
        <w:ind w:firstLine="749"/>
        <w:jc w:val="both"/>
        <w:rPr>
          <w:rFonts w:ascii="Arial" w:hAnsi="Arial" w:cs="Arial"/>
        </w:rPr>
      </w:pPr>
      <w:r>
        <w:rPr>
          <w:rFonts w:ascii="Arial" w:hAnsi="Arial" w:cs="Arial"/>
        </w:rPr>
        <w:t>A</w:t>
      </w:r>
      <w:r w:rsidR="00DA149F" w:rsidRPr="00DA149F">
        <w:rPr>
          <w:rFonts w:ascii="Arial" w:hAnsi="Arial" w:cs="Arial"/>
        </w:rPr>
        <w:t>s mentioned above, the Commission rejected Cottonwood’s intervention in Docket No. 36931, an ETI storm costs case, finding that Cottonwood’s alleged “unique” position did not satisfy the requirements of the Commission’s rules to show standing and that the proceeding would only address costs eligible for recovery from Entergy’s retail customers, not from its wholesale transmission customers like Cottonwood.</w:t>
      </w:r>
      <w:r w:rsidR="00DA149F" w:rsidRPr="00DA149F">
        <w:rPr>
          <w:rStyle w:val="FootnoteReference"/>
          <w:rFonts w:ascii="Arial" w:hAnsi="Arial" w:cs="Arial"/>
        </w:rPr>
        <w:footnoteReference w:id="13"/>
      </w:r>
      <w:r w:rsidR="002D53ED">
        <w:rPr>
          <w:rFonts w:ascii="Arial" w:hAnsi="Arial" w:cs="Arial"/>
        </w:rPr>
        <w:t xml:space="preserve">  Yet here, Cottonwood again trots out the same claim of “unique interest and point of view,” instead of a claimed legal right sufficient to provide standing. </w:t>
      </w:r>
    </w:p>
    <w:p w:rsidR="00EF1BBF" w:rsidRPr="00EF1BBF" w:rsidRDefault="00EF1BBF" w:rsidP="00A0794A">
      <w:pPr>
        <w:pStyle w:val="Level3"/>
      </w:pPr>
      <w:bookmarkStart w:id="9" w:name="_Toc254695653"/>
      <w:r w:rsidRPr="00EF1BBF">
        <w:t>Docket No. 23714</w:t>
      </w:r>
      <w:bookmarkEnd w:id="9"/>
    </w:p>
    <w:p w:rsidR="00DA149F" w:rsidRDefault="00046172" w:rsidP="00D45CF6">
      <w:pPr>
        <w:spacing w:after="0" w:line="480" w:lineRule="auto"/>
        <w:ind w:firstLine="749"/>
        <w:jc w:val="both"/>
        <w:rPr>
          <w:rFonts w:ascii="Arial" w:hAnsi="Arial" w:cs="Arial"/>
        </w:rPr>
      </w:pPr>
      <w:r>
        <w:rPr>
          <w:rFonts w:ascii="Arial" w:hAnsi="Arial" w:cs="Arial"/>
        </w:rPr>
        <w:t>Cottonwood also described Docket No. 23714 as inapplicable here.  In that case</w:t>
      </w:r>
      <w:r w:rsidR="00DA149F" w:rsidRPr="00DA149F">
        <w:rPr>
          <w:rFonts w:ascii="Arial" w:hAnsi="Arial" w:cs="Arial"/>
        </w:rPr>
        <w:t xml:space="preserve">, the Commission rejected an attempt by Brazos Electric Power Cooperative, Inc. </w:t>
      </w:r>
      <w:r w:rsidR="00DA149F" w:rsidRPr="00DA149F">
        <w:rPr>
          <w:rFonts w:ascii="Arial" w:hAnsi="Arial" w:cs="Arial"/>
        </w:rPr>
        <w:lastRenderedPageBreak/>
        <w:t>(Brazos) to intervene in a docket in which Entergy Gulf States, Inc. (EGSI) applied to revise its semi-annual fuel factor as ordered by the Commission in a prior docket.</w:t>
      </w:r>
      <w:r w:rsidR="00DA149F" w:rsidRPr="00DA149F">
        <w:rPr>
          <w:rStyle w:val="FootnoteReference"/>
          <w:rFonts w:ascii="Arial" w:hAnsi="Arial" w:cs="Arial"/>
        </w:rPr>
        <w:footnoteReference w:id="14"/>
      </w:r>
      <w:r w:rsidR="00DA149F" w:rsidRPr="00DA149F">
        <w:rPr>
          <w:rFonts w:ascii="Arial" w:hAnsi="Arial" w:cs="Arial"/>
        </w:rPr>
        <w:t xml:space="preserve">  Brazos claimed that it had a justiciable interest in the proceeding because it purchased wholesale power from EGSI and its participation would serve the public interest.  EGSI objected to Brazos’ motion to intervene, arguing that Brazos had no standing because the only issue in the case was whether EGSI complied with its obligation to accurately calculate its revised fixed fuel factor pursuant to the formula adopted in Docket No. 20150.</w:t>
      </w:r>
      <w:r w:rsidR="00DA149F" w:rsidRPr="00DA149F">
        <w:rPr>
          <w:rStyle w:val="FootnoteReference"/>
          <w:rFonts w:ascii="Arial" w:hAnsi="Arial" w:cs="Arial"/>
        </w:rPr>
        <w:footnoteReference w:id="15"/>
      </w:r>
      <w:r w:rsidR="00DA149F" w:rsidRPr="00DA149F">
        <w:rPr>
          <w:rFonts w:ascii="Arial" w:hAnsi="Arial" w:cs="Arial"/>
        </w:rPr>
        <w:t xml:space="preserve">  EGSI also objected because Brazos was a wholesale customer and therefore would not be affected by the proceeding, which only concerned rates p</w:t>
      </w:r>
      <w:r w:rsidR="001F2E93">
        <w:rPr>
          <w:rFonts w:ascii="Arial" w:hAnsi="Arial" w:cs="Arial"/>
        </w:rPr>
        <w:t>aid by EGSI’s retail customers.</w:t>
      </w:r>
      <w:r w:rsidR="00DA149F" w:rsidRPr="00DA149F">
        <w:rPr>
          <w:rFonts w:ascii="Arial" w:hAnsi="Arial" w:cs="Arial"/>
        </w:rPr>
        <w:t xml:space="preserve">  The ALJ stated that she agreed with EGSI's arguments and that, as Brazos was a wholesale customer, the fuel factor at issue appeared to be inapplicable to Brazos.</w:t>
      </w:r>
      <w:r w:rsidR="00DA149F" w:rsidRPr="00DA149F">
        <w:rPr>
          <w:rStyle w:val="FootnoteReference"/>
          <w:rFonts w:ascii="Arial" w:hAnsi="Arial" w:cs="Arial"/>
        </w:rPr>
        <w:footnoteReference w:id="16"/>
      </w:r>
      <w:r w:rsidR="00DA149F" w:rsidRPr="00DA149F">
        <w:rPr>
          <w:rFonts w:ascii="Arial" w:hAnsi="Arial" w:cs="Arial"/>
        </w:rPr>
        <w:t xml:space="preserve">  Based on the absence of any justiciable interest in the outcome, the ALJ denied Brazos’ motion to intervene.</w:t>
      </w:r>
      <w:r w:rsidR="005E76FC">
        <w:rPr>
          <w:rFonts w:ascii="Arial" w:hAnsi="Arial" w:cs="Arial"/>
        </w:rPr>
        <w:t xml:space="preserve">  </w:t>
      </w:r>
    </w:p>
    <w:p w:rsidR="00EF6D41" w:rsidRDefault="0046006D" w:rsidP="00D45CF6">
      <w:pPr>
        <w:spacing w:after="0" w:line="480" w:lineRule="auto"/>
        <w:ind w:firstLine="749"/>
        <w:jc w:val="both"/>
        <w:rPr>
          <w:rFonts w:ascii="Arial" w:hAnsi="Arial" w:cs="Arial"/>
        </w:rPr>
      </w:pPr>
      <w:r>
        <w:rPr>
          <w:rFonts w:ascii="Arial" w:hAnsi="Arial" w:cs="Arial"/>
        </w:rPr>
        <w:t xml:space="preserve">Cottonwood argues in its appeal that </w:t>
      </w:r>
      <w:r w:rsidR="00EF6D41">
        <w:rPr>
          <w:rFonts w:ascii="Arial" w:hAnsi="Arial" w:cs="Arial"/>
        </w:rPr>
        <w:t xml:space="preserve">that the “limited nature of the case was the reason Brazos’ intervention was denied </w:t>
      </w:r>
      <w:r w:rsidR="00EF6D41" w:rsidRPr="00EF6D41">
        <w:rPr>
          <w:rFonts w:ascii="Arial" w:hAnsi="Arial" w:cs="Arial"/>
        </w:rPr>
        <w:t>—</w:t>
      </w:r>
      <w:r w:rsidR="00EF6D41">
        <w:rPr>
          <w:rFonts w:ascii="Arial" w:hAnsi="Arial" w:cs="Arial"/>
        </w:rPr>
        <w:t xml:space="preserve"> not the fact that it was not a retail customer.”  </w:t>
      </w:r>
      <w:r w:rsidR="00583448">
        <w:rPr>
          <w:rFonts w:ascii="Arial" w:hAnsi="Arial" w:cs="Arial"/>
        </w:rPr>
        <w:t>Regardless of w</w:t>
      </w:r>
      <w:r w:rsidR="00EF6D41">
        <w:rPr>
          <w:rFonts w:ascii="Arial" w:hAnsi="Arial" w:cs="Arial"/>
        </w:rPr>
        <w:t>h</w:t>
      </w:r>
      <w:r>
        <w:rPr>
          <w:rFonts w:ascii="Arial" w:hAnsi="Arial" w:cs="Arial"/>
        </w:rPr>
        <w:t>ether</w:t>
      </w:r>
      <w:r w:rsidR="00EF6D41">
        <w:rPr>
          <w:rFonts w:ascii="Arial" w:hAnsi="Arial" w:cs="Arial"/>
        </w:rPr>
        <w:t xml:space="preserve"> the nature o</w:t>
      </w:r>
      <w:r>
        <w:rPr>
          <w:rFonts w:ascii="Arial" w:hAnsi="Arial" w:cs="Arial"/>
        </w:rPr>
        <w:t xml:space="preserve">f the case </w:t>
      </w:r>
      <w:r w:rsidR="00583448">
        <w:rPr>
          <w:rFonts w:ascii="Arial" w:hAnsi="Arial" w:cs="Arial"/>
        </w:rPr>
        <w:t xml:space="preserve">is </w:t>
      </w:r>
      <w:r>
        <w:rPr>
          <w:rFonts w:ascii="Arial" w:hAnsi="Arial" w:cs="Arial"/>
        </w:rPr>
        <w:t>“li</w:t>
      </w:r>
      <w:r w:rsidR="00EF6D41">
        <w:rPr>
          <w:rFonts w:ascii="Arial" w:hAnsi="Arial" w:cs="Arial"/>
        </w:rPr>
        <w:t xml:space="preserve">mited” or </w:t>
      </w:r>
      <w:r w:rsidR="00583448">
        <w:rPr>
          <w:rFonts w:ascii="Arial" w:hAnsi="Arial" w:cs="Arial"/>
        </w:rPr>
        <w:t>not</w:t>
      </w:r>
      <w:r>
        <w:rPr>
          <w:rFonts w:ascii="Arial" w:hAnsi="Arial" w:cs="Arial"/>
        </w:rPr>
        <w:t xml:space="preserve"> is irrelevant;</w:t>
      </w:r>
      <w:r w:rsidR="00EF6D41">
        <w:rPr>
          <w:rFonts w:ascii="Arial" w:hAnsi="Arial" w:cs="Arial"/>
        </w:rPr>
        <w:t xml:space="preserve"> the ALJ determined that Brazos did not have a justiciable interest because the case related to retail rates and not wholesale rates.  The same holds true </w:t>
      </w:r>
      <w:r>
        <w:rPr>
          <w:rFonts w:ascii="Arial" w:hAnsi="Arial" w:cs="Arial"/>
        </w:rPr>
        <w:t xml:space="preserve">with regard to Cottonwood </w:t>
      </w:r>
      <w:r w:rsidR="00EF6D41">
        <w:rPr>
          <w:rFonts w:ascii="Arial" w:hAnsi="Arial" w:cs="Arial"/>
        </w:rPr>
        <w:t>in the present case as well.</w:t>
      </w:r>
      <w:r>
        <w:rPr>
          <w:rFonts w:ascii="Arial" w:hAnsi="Arial" w:cs="Arial"/>
        </w:rPr>
        <w:t xml:space="preserve">  </w:t>
      </w:r>
    </w:p>
    <w:p w:rsidR="00EF1BBF" w:rsidRPr="00EF1BBF" w:rsidRDefault="00EF1BBF" w:rsidP="00A0794A">
      <w:pPr>
        <w:pStyle w:val="Level3"/>
      </w:pPr>
      <w:bookmarkStart w:id="10" w:name="_Toc254695654"/>
      <w:r w:rsidRPr="00EF1BBF">
        <w:lastRenderedPageBreak/>
        <w:t>Docket No. 34800</w:t>
      </w:r>
      <w:bookmarkEnd w:id="10"/>
    </w:p>
    <w:p w:rsidR="00E42933" w:rsidRDefault="00620CDA" w:rsidP="00D45CF6">
      <w:pPr>
        <w:spacing w:after="0" w:line="480" w:lineRule="auto"/>
        <w:ind w:firstLine="749"/>
        <w:jc w:val="both"/>
        <w:rPr>
          <w:rFonts w:ascii="Arial" w:hAnsi="Arial" w:cs="Arial"/>
        </w:rPr>
      </w:pPr>
      <w:r>
        <w:rPr>
          <w:rFonts w:ascii="Arial" w:hAnsi="Arial" w:cs="Arial"/>
        </w:rPr>
        <w:t>Finally, i</w:t>
      </w:r>
      <w:r w:rsidR="00DA149F" w:rsidRPr="00DA149F">
        <w:rPr>
          <w:rFonts w:ascii="Arial" w:hAnsi="Arial" w:cs="Arial"/>
        </w:rPr>
        <w:t>n EGSI’s recent base rate case (Docket No. 34800), a group of generation and transmission electric cooperatives (East Texas Cooperatives) that were wholesale customers of EGSI sought to intervene based upon their concern that parties in the proceeding might attempt to shift some of the cost burden to EGSI’s wholesale customers, including the cooperatives.</w:t>
      </w:r>
      <w:r w:rsidR="00DA149F" w:rsidRPr="00DA149F">
        <w:rPr>
          <w:rStyle w:val="FootnoteReference"/>
          <w:rFonts w:ascii="Arial" w:hAnsi="Arial" w:cs="Arial"/>
        </w:rPr>
        <w:footnoteReference w:id="17"/>
      </w:r>
      <w:r w:rsidR="00DA149F" w:rsidRPr="00DA149F">
        <w:rPr>
          <w:rFonts w:ascii="Arial" w:hAnsi="Arial" w:cs="Arial"/>
        </w:rPr>
        <w:t xml:space="preserve">  </w:t>
      </w:r>
      <w:r w:rsidR="00046172">
        <w:rPr>
          <w:rFonts w:ascii="Arial" w:hAnsi="Arial" w:cs="Arial"/>
        </w:rPr>
        <w:t xml:space="preserve">That </w:t>
      </w:r>
      <w:r w:rsidR="00612B66">
        <w:rPr>
          <w:rFonts w:ascii="Arial" w:hAnsi="Arial" w:cs="Arial"/>
        </w:rPr>
        <w:t xml:space="preserve">rate </w:t>
      </w:r>
      <w:r w:rsidR="00046172">
        <w:rPr>
          <w:rFonts w:ascii="Arial" w:hAnsi="Arial" w:cs="Arial"/>
        </w:rPr>
        <w:t xml:space="preserve">case was </w:t>
      </w:r>
      <w:r w:rsidR="00BE5445">
        <w:rPr>
          <w:rFonts w:ascii="Arial" w:hAnsi="Arial" w:cs="Arial"/>
        </w:rPr>
        <w:t xml:space="preserve">no less </w:t>
      </w:r>
      <w:r w:rsidR="00046172">
        <w:rPr>
          <w:rFonts w:ascii="Arial" w:hAnsi="Arial" w:cs="Arial"/>
        </w:rPr>
        <w:t>complex tha</w:t>
      </w:r>
      <w:r w:rsidR="0027338D">
        <w:rPr>
          <w:rFonts w:ascii="Arial" w:hAnsi="Arial" w:cs="Arial"/>
        </w:rPr>
        <w:t>n</w:t>
      </w:r>
      <w:r w:rsidR="00046172">
        <w:rPr>
          <w:rFonts w:ascii="Arial" w:hAnsi="Arial" w:cs="Arial"/>
        </w:rPr>
        <w:t xml:space="preserve"> the </w:t>
      </w:r>
      <w:r>
        <w:rPr>
          <w:rFonts w:ascii="Arial" w:hAnsi="Arial" w:cs="Arial"/>
        </w:rPr>
        <w:t xml:space="preserve">supposed “rate case plus” that is before the Commission in the present </w:t>
      </w:r>
      <w:r w:rsidR="00612B66">
        <w:rPr>
          <w:rFonts w:ascii="Arial" w:hAnsi="Arial" w:cs="Arial"/>
        </w:rPr>
        <w:t>docket</w:t>
      </w:r>
      <w:r>
        <w:rPr>
          <w:rFonts w:ascii="Arial" w:hAnsi="Arial" w:cs="Arial"/>
        </w:rPr>
        <w:t>.</w:t>
      </w:r>
      <w:r w:rsidR="00EA1655">
        <w:rPr>
          <w:rFonts w:ascii="Arial" w:hAnsi="Arial" w:cs="Arial"/>
        </w:rPr>
        <w:t xml:space="preserve">  </w:t>
      </w:r>
      <w:r w:rsidR="00BE5445">
        <w:rPr>
          <w:rFonts w:ascii="Arial" w:hAnsi="Arial" w:cs="Arial"/>
        </w:rPr>
        <w:t>In particular</w:t>
      </w:r>
      <w:r w:rsidR="00EA1655">
        <w:rPr>
          <w:rFonts w:ascii="Arial" w:hAnsi="Arial" w:cs="Arial"/>
        </w:rPr>
        <w:t xml:space="preserve">, that case also included a </w:t>
      </w:r>
      <w:r w:rsidR="00685F74">
        <w:rPr>
          <w:rFonts w:ascii="Arial" w:hAnsi="Arial" w:cs="Arial"/>
        </w:rPr>
        <w:t xml:space="preserve">number of riders including both a </w:t>
      </w:r>
      <w:r w:rsidR="00EA1655">
        <w:rPr>
          <w:rFonts w:ascii="Arial" w:hAnsi="Arial" w:cs="Arial"/>
        </w:rPr>
        <w:t xml:space="preserve">CGS proposal as well as a </w:t>
      </w:r>
      <w:r w:rsidR="00685F74">
        <w:rPr>
          <w:rFonts w:ascii="Arial" w:hAnsi="Arial" w:cs="Arial"/>
        </w:rPr>
        <w:t xml:space="preserve">PPR </w:t>
      </w:r>
      <w:r w:rsidR="00EA1655">
        <w:rPr>
          <w:rFonts w:ascii="Arial" w:hAnsi="Arial" w:cs="Arial"/>
        </w:rPr>
        <w:t>rider</w:t>
      </w:r>
      <w:r w:rsidR="00E302DB">
        <w:rPr>
          <w:rFonts w:ascii="Arial" w:hAnsi="Arial" w:cs="Arial"/>
        </w:rPr>
        <w:t xml:space="preserve"> designed to recover all purchased power cap</w:t>
      </w:r>
      <w:r w:rsidR="00BE5445">
        <w:rPr>
          <w:rFonts w:ascii="Arial" w:hAnsi="Arial" w:cs="Arial"/>
        </w:rPr>
        <w:t>a</w:t>
      </w:r>
      <w:r w:rsidR="00E302DB">
        <w:rPr>
          <w:rFonts w:ascii="Arial" w:hAnsi="Arial" w:cs="Arial"/>
        </w:rPr>
        <w:t>city costs</w:t>
      </w:r>
      <w:r w:rsidR="00EA1655">
        <w:rPr>
          <w:rFonts w:ascii="Arial" w:hAnsi="Arial" w:cs="Arial"/>
        </w:rPr>
        <w:t>.</w:t>
      </w:r>
      <w:r w:rsidR="0091769E">
        <w:rPr>
          <w:rStyle w:val="FootnoteReference"/>
          <w:rFonts w:ascii="Arial" w:hAnsi="Arial" w:cs="Arial"/>
        </w:rPr>
        <w:footnoteReference w:id="18"/>
      </w:r>
      <w:r w:rsidR="00EA1655">
        <w:rPr>
          <w:rFonts w:ascii="Arial" w:hAnsi="Arial" w:cs="Arial"/>
        </w:rPr>
        <w:t xml:space="preserve">  </w:t>
      </w:r>
    </w:p>
    <w:p w:rsidR="00DA149F" w:rsidRDefault="00620CDA" w:rsidP="00D45CF6">
      <w:pPr>
        <w:spacing w:after="0" w:line="480" w:lineRule="auto"/>
        <w:ind w:firstLine="749"/>
        <w:jc w:val="both"/>
        <w:rPr>
          <w:rFonts w:ascii="Arial" w:hAnsi="Arial" w:cs="Arial"/>
        </w:rPr>
      </w:pPr>
      <w:r>
        <w:rPr>
          <w:rFonts w:ascii="Arial" w:hAnsi="Arial" w:cs="Arial"/>
        </w:rPr>
        <w:t xml:space="preserve">In Docket No. 34800, </w:t>
      </w:r>
      <w:r w:rsidR="00DA149F" w:rsidRPr="00DA149F">
        <w:rPr>
          <w:rFonts w:ascii="Arial" w:hAnsi="Arial" w:cs="Arial"/>
        </w:rPr>
        <w:t xml:space="preserve">EGSI objected to </w:t>
      </w:r>
      <w:r w:rsidR="001403CF">
        <w:rPr>
          <w:rFonts w:ascii="Arial" w:hAnsi="Arial" w:cs="Arial"/>
        </w:rPr>
        <w:t>the East Texas Cooperative</w:t>
      </w:r>
      <w:r w:rsidR="0027338D">
        <w:rPr>
          <w:rFonts w:ascii="Arial" w:hAnsi="Arial" w:cs="Arial"/>
        </w:rPr>
        <w:t>s</w:t>
      </w:r>
      <w:r w:rsidR="001403CF">
        <w:rPr>
          <w:rFonts w:ascii="Arial" w:hAnsi="Arial" w:cs="Arial"/>
        </w:rPr>
        <w:t>’</w:t>
      </w:r>
      <w:r w:rsidR="0027338D">
        <w:rPr>
          <w:rFonts w:ascii="Arial" w:hAnsi="Arial" w:cs="Arial"/>
        </w:rPr>
        <w:t xml:space="preserve"> </w:t>
      </w:r>
      <w:r w:rsidR="00DA149F" w:rsidRPr="00DA149F">
        <w:rPr>
          <w:rFonts w:ascii="Arial" w:hAnsi="Arial" w:cs="Arial"/>
        </w:rPr>
        <w:t>motion to intervene, arguing that: (1) the cooperatives had no justiciable interest in the docket because they were wholesale customers and would not be affected by a change in retail rates; and (2) the wholesale rates that the cooperatives pay were subject to the FERC’s jurisdiction.</w:t>
      </w:r>
      <w:r w:rsidR="00DA149F" w:rsidRPr="00DA149F">
        <w:rPr>
          <w:rStyle w:val="FootnoteReference"/>
          <w:rFonts w:ascii="Arial" w:hAnsi="Arial" w:cs="Arial"/>
        </w:rPr>
        <w:footnoteReference w:id="19"/>
      </w:r>
      <w:r w:rsidR="00DA149F" w:rsidRPr="00DA149F">
        <w:rPr>
          <w:rFonts w:ascii="Arial" w:hAnsi="Arial" w:cs="Arial"/>
        </w:rPr>
        <w:t xml:space="preserve">  The ALJs denied the East Texas Cooperatives’ motion to intervene</w:t>
      </w:r>
      <w:r w:rsidR="00583448" w:rsidRPr="00583448">
        <w:rPr>
          <w:rFonts w:ascii="Arial" w:hAnsi="Arial" w:cs="Arial"/>
        </w:rPr>
        <w:t xml:space="preserve"> </w:t>
      </w:r>
      <w:r w:rsidR="00583448">
        <w:rPr>
          <w:rFonts w:ascii="Arial" w:hAnsi="Arial" w:cs="Arial"/>
        </w:rPr>
        <w:t>but encourage</w:t>
      </w:r>
      <w:r w:rsidR="00612B66">
        <w:rPr>
          <w:rFonts w:ascii="Arial" w:hAnsi="Arial" w:cs="Arial"/>
        </w:rPr>
        <w:t>d</w:t>
      </w:r>
      <w:r w:rsidR="00583448">
        <w:rPr>
          <w:rFonts w:ascii="Arial" w:hAnsi="Arial" w:cs="Arial"/>
        </w:rPr>
        <w:t xml:space="preserve"> t</w:t>
      </w:r>
      <w:r w:rsidR="00583448" w:rsidRPr="00DA149F">
        <w:rPr>
          <w:rFonts w:ascii="Arial" w:hAnsi="Arial" w:cs="Arial"/>
        </w:rPr>
        <w:t xml:space="preserve">he cooperatives to use the </w:t>
      </w:r>
      <w:r w:rsidR="00A76B85">
        <w:rPr>
          <w:rFonts w:ascii="Arial" w:hAnsi="Arial" w:cs="Arial"/>
        </w:rPr>
        <w:t>Commission’s</w:t>
      </w:r>
      <w:r w:rsidR="00583448" w:rsidRPr="00DA149F">
        <w:rPr>
          <w:rFonts w:ascii="Arial" w:hAnsi="Arial" w:cs="Arial"/>
        </w:rPr>
        <w:t xml:space="preserve"> Interchange to monitor the case</w:t>
      </w:r>
      <w:r w:rsidR="00DA149F" w:rsidRPr="00DA149F">
        <w:rPr>
          <w:rFonts w:ascii="Arial" w:hAnsi="Arial" w:cs="Arial"/>
        </w:rPr>
        <w:t>.</w:t>
      </w:r>
      <w:r w:rsidR="00DA149F" w:rsidRPr="00DA149F">
        <w:rPr>
          <w:rStyle w:val="FootnoteReference"/>
          <w:rFonts w:ascii="Arial" w:hAnsi="Arial" w:cs="Arial"/>
        </w:rPr>
        <w:footnoteReference w:id="20"/>
      </w:r>
      <w:r w:rsidR="00DA149F" w:rsidRPr="00DA149F">
        <w:rPr>
          <w:rFonts w:ascii="Arial" w:hAnsi="Arial" w:cs="Arial"/>
        </w:rPr>
        <w:t xml:space="preserve">  Cottonwood too can monitor this docket through the daily filings posted on the Interchange.</w:t>
      </w:r>
      <w:r w:rsidR="00610460">
        <w:rPr>
          <w:rFonts w:ascii="Arial" w:hAnsi="Arial" w:cs="Arial"/>
        </w:rPr>
        <w:t xml:space="preserve">  However, Cottonwood should not be allowed to intervene in this case and </w:t>
      </w:r>
      <w:r w:rsidR="00612B66">
        <w:rPr>
          <w:rFonts w:ascii="Arial" w:hAnsi="Arial" w:cs="Arial"/>
        </w:rPr>
        <w:t xml:space="preserve">thus </w:t>
      </w:r>
      <w:r w:rsidR="00BE5445">
        <w:rPr>
          <w:rFonts w:ascii="Arial" w:hAnsi="Arial" w:cs="Arial"/>
        </w:rPr>
        <w:t xml:space="preserve">seek relief </w:t>
      </w:r>
      <w:r w:rsidR="00610460">
        <w:rPr>
          <w:rFonts w:ascii="Arial" w:hAnsi="Arial" w:cs="Arial"/>
        </w:rPr>
        <w:t xml:space="preserve">with regard to wholesale market issues. </w:t>
      </w:r>
    </w:p>
    <w:p w:rsidR="00DA149F" w:rsidRDefault="00DA149F" w:rsidP="00D45CF6">
      <w:pPr>
        <w:spacing w:after="0" w:line="480" w:lineRule="auto"/>
        <w:ind w:firstLine="749"/>
        <w:jc w:val="both"/>
        <w:rPr>
          <w:rFonts w:ascii="Arial" w:hAnsi="Arial" w:cs="Arial"/>
        </w:rPr>
      </w:pPr>
      <w:r w:rsidRPr="00DA149F">
        <w:rPr>
          <w:rFonts w:ascii="Arial" w:hAnsi="Arial" w:cs="Arial"/>
        </w:rPr>
        <w:lastRenderedPageBreak/>
        <w:t xml:space="preserve">Cottonwood has not demonstrated any greater </w:t>
      </w:r>
      <w:r w:rsidR="001D227D">
        <w:rPr>
          <w:rFonts w:ascii="Arial" w:hAnsi="Arial" w:cs="Arial"/>
        </w:rPr>
        <w:t xml:space="preserve">legal interest </w:t>
      </w:r>
      <w:r w:rsidRPr="00DA149F">
        <w:rPr>
          <w:rFonts w:ascii="Arial" w:hAnsi="Arial" w:cs="Arial"/>
        </w:rPr>
        <w:t xml:space="preserve">in this case than it, Brazos, or the East Texas Cooperatives demonstrated in the prior cases described above.  </w:t>
      </w:r>
      <w:r w:rsidR="00610460">
        <w:rPr>
          <w:rFonts w:ascii="Arial" w:hAnsi="Arial" w:cs="Arial"/>
        </w:rPr>
        <w:t xml:space="preserve">Allowing parties with wholesale-only interests to participate in retail rate cases as sought by Cottonwood </w:t>
      </w:r>
      <w:r w:rsidR="001D227D">
        <w:rPr>
          <w:rFonts w:ascii="Arial" w:hAnsi="Arial" w:cs="Arial"/>
        </w:rPr>
        <w:t xml:space="preserve">is contrary to Commission </w:t>
      </w:r>
      <w:r w:rsidR="00610460">
        <w:rPr>
          <w:rFonts w:ascii="Arial" w:hAnsi="Arial" w:cs="Arial"/>
        </w:rPr>
        <w:t xml:space="preserve">precedent.  </w:t>
      </w:r>
      <w:r w:rsidRPr="00DA149F">
        <w:rPr>
          <w:rFonts w:ascii="Arial" w:hAnsi="Arial" w:cs="Arial"/>
        </w:rPr>
        <w:t>Accordingly, Cottonwood’s intervention here should similarly be rejected.</w:t>
      </w:r>
    </w:p>
    <w:p w:rsidR="00BE4FEF" w:rsidRPr="00DA149F" w:rsidRDefault="00BE4FEF" w:rsidP="00A0794A">
      <w:pPr>
        <w:pStyle w:val="Level2"/>
        <w:spacing w:line="240" w:lineRule="auto"/>
        <w:ind w:hanging="691"/>
      </w:pPr>
      <w:bookmarkStart w:id="11" w:name="_Toc254695655"/>
      <w:r w:rsidRPr="00DA149F">
        <w:t xml:space="preserve">Commission </w:t>
      </w:r>
      <w:r w:rsidRPr="00001520">
        <w:t>Precedent</w:t>
      </w:r>
      <w:r w:rsidRPr="00DA149F">
        <w:t xml:space="preserve"> </w:t>
      </w:r>
      <w:r>
        <w:t xml:space="preserve">Cited by Cottonwood Does Not Support </w:t>
      </w:r>
      <w:r w:rsidRPr="00DA149F">
        <w:t>Cottonwood’s Intervention.</w:t>
      </w:r>
      <w:bookmarkEnd w:id="11"/>
    </w:p>
    <w:p w:rsidR="00BE4FEF" w:rsidRDefault="00B53CBE" w:rsidP="00D45CF6">
      <w:pPr>
        <w:spacing w:after="0" w:line="480" w:lineRule="auto"/>
        <w:ind w:firstLine="749"/>
        <w:jc w:val="both"/>
        <w:rPr>
          <w:rFonts w:ascii="Arial" w:hAnsi="Arial" w:cs="Arial"/>
        </w:rPr>
      </w:pPr>
      <w:r>
        <w:rPr>
          <w:rFonts w:ascii="Arial" w:hAnsi="Arial" w:cs="Arial"/>
        </w:rPr>
        <w:t>Cottonwood cit</w:t>
      </w:r>
      <w:r w:rsidR="00BE4FEF">
        <w:rPr>
          <w:rFonts w:ascii="Arial" w:hAnsi="Arial" w:cs="Arial"/>
        </w:rPr>
        <w:t>es to Order No. 5 in Docket No. 2580</w:t>
      </w:r>
      <w:r w:rsidR="00062865">
        <w:rPr>
          <w:rFonts w:ascii="Arial" w:hAnsi="Arial" w:cs="Arial"/>
        </w:rPr>
        <w:t>2</w:t>
      </w:r>
      <w:r w:rsidR="00BE4FEF">
        <w:rPr>
          <w:rFonts w:ascii="Arial" w:hAnsi="Arial" w:cs="Arial"/>
        </w:rPr>
        <w:t xml:space="preserve">, </w:t>
      </w:r>
      <w:r w:rsidR="00BE4FEF">
        <w:rPr>
          <w:rFonts w:ascii="Arial" w:hAnsi="Arial" w:cs="Arial"/>
          <w:i/>
        </w:rPr>
        <w:t xml:space="preserve">Application of TXU Energy Retail Company to Increase Price to Beat </w:t>
      </w:r>
      <w:r>
        <w:rPr>
          <w:rFonts w:ascii="Arial" w:hAnsi="Arial" w:cs="Arial"/>
          <w:i/>
        </w:rPr>
        <w:t xml:space="preserve">(PTB) </w:t>
      </w:r>
      <w:r w:rsidR="00BE4FEF">
        <w:rPr>
          <w:rFonts w:ascii="Arial" w:hAnsi="Arial" w:cs="Arial"/>
          <w:i/>
        </w:rPr>
        <w:t>Fuel Factors</w:t>
      </w:r>
      <w:r w:rsidR="00610460">
        <w:rPr>
          <w:rFonts w:ascii="Arial" w:hAnsi="Arial" w:cs="Arial"/>
          <w:i/>
        </w:rPr>
        <w:t>,</w:t>
      </w:r>
      <w:r w:rsidR="00BE4FEF">
        <w:rPr>
          <w:rFonts w:ascii="Arial" w:hAnsi="Arial" w:cs="Arial"/>
        </w:rPr>
        <w:t xml:space="preserve"> in support of its intervention.  That precedent</w:t>
      </w:r>
      <w:r w:rsidR="00A12C27">
        <w:rPr>
          <w:rFonts w:ascii="Arial" w:hAnsi="Arial" w:cs="Arial"/>
        </w:rPr>
        <w:t xml:space="preserve">, which </w:t>
      </w:r>
      <w:r w:rsidR="00A76B85">
        <w:rPr>
          <w:rFonts w:ascii="Arial" w:hAnsi="Arial" w:cs="Arial"/>
        </w:rPr>
        <w:t>involved</w:t>
      </w:r>
      <w:r w:rsidR="00A12C27">
        <w:rPr>
          <w:rFonts w:ascii="Arial" w:hAnsi="Arial" w:cs="Arial"/>
        </w:rPr>
        <w:t xml:space="preserve"> the effect of the PTB fuel factor on the then-newly implemented retail competition framework in ERCOT, </w:t>
      </w:r>
      <w:r w:rsidR="00BE4FEF">
        <w:rPr>
          <w:rFonts w:ascii="Arial" w:hAnsi="Arial" w:cs="Arial"/>
        </w:rPr>
        <w:t xml:space="preserve">is wholly inapplicable to </w:t>
      </w:r>
      <w:r w:rsidR="00A12C27">
        <w:rPr>
          <w:rFonts w:ascii="Arial" w:hAnsi="Arial" w:cs="Arial"/>
        </w:rPr>
        <w:t>ETI’s service area</w:t>
      </w:r>
      <w:r w:rsidR="00881FDE">
        <w:rPr>
          <w:rFonts w:ascii="Arial" w:hAnsi="Arial" w:cs="Arial"/>
        </w:rPr>
        <w:t>, which is outside of ERCOT,</w:t>
      </w:r>
      <w:r w:rsidR="00A12C27">
        <w:rPr>
          <w:rFonts w:ascii="Arial" w:hAnsi="Arial" w:cs="Arial"/>
        </w:rPr>
        <w:t xml:space="preserve"> </w:t>
      </w:r>
      <w:r w:rsidR="00BE4FEF">
        <w:rPr>
          <w:rFonts w:ascii="Arial" w:hAnsi="Arial" w:cs="Arial"/>
        </w:rPr>
        <w:t xml:space="preserve">and this </w:t>
      </w:r>
      <w:r w:rsidR="00881FDE">
        <w:rPr>
          <w:rFonts w:ascii="Arial" w:hAnsi="Arial" w:cs="Arial"/>
        </w:rPr>
        <w:t>proceeding</w:t>
      </w:r>
      <w:r w:rsidR="00BE4FEF">
        <w:rPr>
          <w:rFonts w:ascii="Arial" w:hAnsi="Arial" w:cs="Arial"/>
        </w:rPr>
        <w:t>.</w:t>
      </w:r>
      <w:r w:rsidR="00A12C27">
        <w:rPr>
          <w:rFonts w:ascii="Arial" w:hAnsi="Arial" w:cs="Arial"/>
        </w:rPr>
        <w:t xml:space="preserve">  </w:t>
      </w:r>
    </w:p>
    <w:p w:rsidR="009B1135" w:rsidRDefault="000E2081" w:rsidP="00D45CF6">
      <w:pPr>
        <w:spacing w:after="0" w:line="480" w:lineRule="auto"/>
        <w:ind w:firstLine="749"/>
        <w:jc w:val="both"/>
        <w:rPr>
          <w:rFonts w:ascii="Arial" w:hAnsi="Arial" w:cs="Arial"/>
        </w:rPr>
      </w:pPr>
      <w:r>
        <w:rPr>
          <w:rFonts w:ascii="Arial" w:hAnsi="Arial" w:cs="Arial"/>
        </w:rPr>
        <w:t xml:space="preserve">As the Commission </w:t>
      </w:r>
      <w:r w:rsidR="00610460">
        <w:rPr>
          <w:rFonts w:ascii="Arial" w:hAnsi="Arial" w:cs="Arial"/>
        </w:rPr>
        <w:t>stated</w:t>
      </w:r>
      <w:r w:rsidR="00A76B85">
        <w:rPr>
          <w:rFonts w:ascii="Arial" w:hAnsi="Arial" w:cs="Arial"/>
        </w:rPr>
        <w:t xml:space="preserve"> at the time</w:t>
      </w:r>
      <w:r>
        <w:rPr>
          <w:rFonts w:ascii="Arial" w:hAnsi="Arial" w:cs="Arial"/>
        </w:rPr>
        <w:t>, Docket No. 2580</w:t>
      </w:r>
      <w:r w:rsidR="00B23DA8">
        <w:rPr>
          <w:rFonts w:ascii="Arial" w:hAnsi="Arial" w:cs="Arial"/>
        </w:rPr>
        <w:t>2</w:t>
      </w:r>
      <w:r>
        <w:rPr>
          <w:rFonts w:ascii="Arial" w:hAnsi="Arial" w:cs="Arial"/>
        </w:rPr>
        <w:t xml:space="preserve"> was the first case transferred to SOAH in which an affiliated retail electric provider (REP) sought to increase its PTB fuel factor.</w:t>
      </w:r>
      <w:r w:rsidR="00B53CBE">
        <w:rPr>
          <w:rStyle w:val="FootnoteReference"/>
          <w:rFonts w:ascii="Arial" w:hAnsi="Arial" w:cs="Arial"/>
        </w:rPr>
        <w:footnoteReference w:id="21"/>
      </w:r>
      <w:r>
        <w:rPr>
          <w:rFonts w:ascii="Arial" w:hAnsi="Arial" w:cs="Arial"/>
        </w:rPr>
        <w:t xml:space="preserve"> </w:t>
      </w:r>
      <w:r w:rsidR="001F2E93">
        <w:rPr>
          <w:rFonts w:ascii="Arial" w:hAnsi="Arial" w:cs="Arial"/>
        </w:rPr>
        <w:t xml:space="preserve"> </w:t>
      </w:r>
      <w:r w:rsidR="006F091D">
        <w:rPr>
          <w:rFonts w:ascii="Arial" w:hAnsi="Arial" w:cs="Arial"/>
        </w:rPr>
        <w:t xml:space="preserve">The Commission had previously granted the intervention of retail electric providers in PTB fuel factor cases, </w:t>
      </w:r>
      <w:r w:rsidR="002D1467">
        <w:rPr>
          <w:rFonts w:ascii="Arial" w:hAnsi="Arial" w:cs="Arial"/>
        </w:rPr>
        <w:t>but</w:t>
      </w:r>
      <w:r w:rsidR="006F091D">
        <w:rPr>
          <w:rFonts w:ascii="Arial" w:hAnsi="Arial" w:cs="Arial"/>
        </w:rPr>
        <w:t xml:space="preserve"> in Docket No. 25802, </w:t>
      </w:r>
      <w:r w:rsidR="002D1467">
        <w:rPr>
          <w:rFonts w:ascii="Arial" w:hAnsi="Arial" w:cs="Arial"/>
        </w:rPr>
        <w:t xml:space="preserve">the Office of Public Utility Counsel (OPUC) opposed the interventions of various REPs.  </w:t>
      </w:r>
      <w:r w:rsidR="00E93692">
        <w:rPr>
          <w:rFonts w:ascii="Arial" w:hAnsi="Arial" w:cs="Arial"/>
        </w:rPr>
        <w:t xml:space="preserve">OPUC’s arguments </w:t>
      </w:r>
      <w:r w:rsidR="00032DAA">
        <w:rPr>
          <w:rFonts w:ascii="Arial" w:hAnsi="Arial" w:cs="Arial"/>
        </w:rPr>
        <w:t>opposing the intervention</w:t>
      </w:r>
      <w:r w:rsidR="002D1467">
        <w:rPr>
          <w:rFonts w:ascii="Arial" w:hAnsi="Arial" w:cs="Arial"/>
        </w:rPr>
        <w:t>s</w:t>
      </w:r>
      <w:r w:rsidR="00032DAA">
        <w:rPr>
          <w:rFonts w:ascii="Arial" w:hAnsi="Arial" w:cs="Arial"/>
        </w:rPr>
        <w:t xml:space="preserve"> </w:t>
      </w:r>
      <w:r w:rsidR="00E93692">
        <w:rPr>
          <w:rFonts w:ascii="Arial" w:hAnsi="Arial" w:cs="Arial"/>
        </w:rPr>
        <w:t>did not focus on whether the</w:t>
      </w:r>
      <w:r w:rsidR="00244529">
        <w:rPr>
          <w:rFonts w:ascii="Arial" w:hAnsi="Arial" w:cs="Arial"/>
        </w:rPr>
        <w:t xml:space="preserve"> </w:t>
      </w:r>
      <w:r w:rsidR="00E93692">
        <w:rPr>
          <w:rFonts w:ascii="Arial" w:hAnsi="Arial" w:cs="Arial"/>
        </w:rPr>
        <w:t xml:space="preserve">REPs had demonstrated a </w:t>
      </w:r>
      <w:r w:rsidR="00E93692">
        <w:rPr>
          <w:rFonts w:ascii="Arial" w:hAnsi="Arial" w:cs="Arial"/>
          <w:i/>
        </w:rPr>
        <w:t xml:space="preserve">justiciable </w:t>
      </w:r>
      <w:r w:rsidR="00E93692">
        <w:rPr>
          <w:rFonts w:ascii="Arial" w:hAnsi="Arial" w:cs="Arial"/>
        </w:rPr>
        <w:t xml:space="preserve">interest but </w:t>
      </w:r>
      <w:r w:rsidR="00881FDE">
        <w:rPr>
          <w:rFonts w:ascii="Arial" w:hAnsi="Arial" w:cs="Arial"/>
        </w:rPr>
        <w:t xml:space="preserve">on </w:t>
      </w:r>
      <w:r w:rsidR="00E93692">
        <w:rPr>
          <w:rFonts w:ascii="Arial" w:hAnsi="Arial" w:cs="Arial"/>
        </w:rPr>
        <w:t>whether the REP</w:t>
      </w:r>
      <w:r w:rsidR="004F3CC1">
        <w:rPr>
          <w:rFonts w:ascii="Arial" w:hAnsi="Arial" w:cs="Arial"/>
        </w:rPr>
        <w:t>s</w:t>
      </w:r>
      <w:r w:rsidR="00E93692">
        <w:rPr>
          <w:rFonts w:ascii="Arial" w:hAnsi="Arial" w:cs="Arial"/>
        </w:rPr>
        <w:t xml:space="preserve"> would be harmed, whether the REPs had shown that they compete in TXU Energy’s service area for PTB customers, </w:t>
      </w:r>
      <w:r w:rsidR="009B1135">
        <w:rPr>
          <w:rFonts w:ascii="Arial" w:hAnsi="Arial" w:cs="Arial"/>
        </w:rPr>
        <w:t xml:space="preserve">and </w:t>
      </w:r>
      <w:r w:rsidR="00E93692">
        <w:rPr>
          <w:rFonts w:ascii="Arial" w:hAnsi="Arial" w:cs="Arial"/>
        </w:rPr>
        <w:t>wh</w:t>
      </w:r>
      <w:r w:rsidR="009B1135">
        <w:rPr>
          <w:rFonts w:ascii="Arial" w:hAnsi="Arial" w:cs="Arial"/>
        </w:rPr>
        <w:t>e</w:t>
      </w:r>
      <w:r w:rsidR="00E93692">
        <w:rPr>
          <w:rFonts w:ascii="Arial" w:hAnsi="Arial" w:cs="Arial"/>
        </w:rPr>
        <w:t xml:space="preserve">ther </w:t>
      </w:r>
      <w:r w:rsidR="009B1135">
        <w:rPr>
          <w:rFonts w:ascii="Arial" w:hAnsi="Arial" w:cs="Arial"/>
        </w:rPr>
        <w:t>the interventions would lead to antitrust violations.</w:t>
      </w:r>
      <w:r w:rsidR="00567ED3">
        <w:rPr>
          <w:rStyle w:val="FootnoteReference"/>
          <w:rFonts w:ascii="Arial" w:hAnsi="Arial" w:cs="Arial"/>
        </w:rPr>
        <w:footnoteReference w:id="22"/>
      </w:r>
      <w:r w:rsidR="009B1135">
        <w:rPr>
          <w:rFonts w:ascii="Arial" w:hAnsi="Arial" w:cs="Arial"/>
        </w:rPr>
        <w:t xml:space="preserve">  ETI is not making any of those arguments here.</w:t>
      </w:r>
      <w:r w:rsidR="004F3CC1">
        <w:rPr>
          <w:rFonts w:ascii="Arial" w:hAnsi="Arial" w:cs="Arial"/>
        </w:rPr>
        <w:t xml:space="preserve">  </w:t>
      </w:r>
    </w:p>
    <w:p w:rsidR="000E2081" w:rsidRDefault="008554FA" w:rsidP="00D45CF6">
      <w:pPr>
        <w:spacing w:after="0" w:line="480" w:lineRule="auto"/>
        <w:ind w:firstLine="749"/>
        <w:jc w:val="both"/>
        <w:rPr>
          <w:rFonts w:ascii="Arial" w:hAnsi="Arial" w:cs="Arial"/>
        </w:rPr>
      </w:pPr>
      <w:r>
        <w:rPr>
          <w:rFonts w:ascii="Arial" w:hAnsi="Arial" w:cs="Arial"/>
        </w:rPr>
        <w:lastRenderedPageBreak/>
        <w:t xml:space="preserve">Moreover, not only was the PTB fuel factor at issue in Docket No. 25802 a retail rate, </w:t>
      </w:r>
      <w:r w:rsidR="00432872">
        <w:rPr>
          <w:rFonts w:ascii="Arial" w:hAnsi="Arial" w:cs="Arial"/>
        </w:rPr>
        <w:t xml:space="preserve">but </w:t>
      </w:r>
      <w:r>
        <w:rPr>
          <w:rFonts w:ascii="Arial" w:hAnsi="Arial" w:cs="Arial"/>
        </w:rPr>
        <w:t>the intervening REPs themselves also provided retail electric service, unlike the wholesale-market offerings of Cottonwood.  Further</w:t>
      </w:r>
      <w:r w:rsidR="009B1135">
        <w:rPr>
          <w:rFonts w:ascii="Arial" w:hAnsi="Arial" w:cs="Arial"/>
        </w:rPr>
        <w:t xml:space="preserve">, the ALJ </w:t>
      </w:r>
      <w:r w:rsidR="00D26D84">
        <w:rPr>
          <w:rFonts w:ascii="Arial" w:hAnsi="Arial" w:cs="Arial"/>
        </w:rPr>
        <w:t>expl</w:t>
      </w:r>
      <w:r>
        <w:rPr>
          <w:rFonts w:ascii="Arial" w:hAnsi="Arial" w:cs="Arial"/>
        </w:rPr>
        <w:t>ained that at least some of the</w:t>
      </w:r>
      <w:r w:rsidR="00A76B85">
        <w:rPr>
          <w:rFonts w:ascii="Arial" w:hAnsi="Arial" w:cs="Arial"/>
        </w:rPr>
        <w:t xml:space="preserve"> </w:t>
      </w:r>
      <w:r w:rsidR="00D26D84">
        <w:rPr>
          <w:rFonts w:ascii="Arial" w:hAnsi="Arial" w:cs="Arial"/>
        </w:rPr>
        <w:t>REPs</w:t>
      </w:r>
      <w:r w:rsidR="00B53CBE">
        <w:rPr>
          <w:rFonts w:ascii="Arial" w:hAnsi="Arial" w:cs="Arial"/>
        </w:rPr>
        <w:t>’</w:t>
      </w:r>
      <w:r w:rsidR="00D26D84">
        <w:rPr>
          <w:rFonts w:ascii="Arial" w:hAnsi="Arial" w:cs="Arial"/>
        </w:rPr>
        <w:t xml:space="preserve"> rates were </w:t>
      </w:r>
      <w:r w:rsidR="00881FDE">
        <w:rPr>
          <w:rFonts w:ascii="Arial" w:hAnsi="Arial" w:cs="Arial"/>
        </w:rPr>
        <w:t xml:space="preserve">actually </w:t>
      </w:r>
      <w:r w:rsidR="00D26D84">
        <w:rPr>
          <w:rFonts w:ascii="Arial" w:hAnsi="Arial" w:cs="Arial"/>
        </w:rPr>
        <w:t xml:space="preserve">tied to the PTB charged by </w:t>
      </w:r>
      <w:r w:rsidR="00244529">
        <w:rPr>
          <w:rFonts w:ascii="Arial" w:hAnsi="Arial" w:cs="Arial"/>
        </w:rPr>
        <w:t>the applicant</w:t>
      </w:r>
      <w:r w:rsidR="00D26D84">
        <w:rPr>
          <w:rFonts w:ascii="Arial" w:hAnsi="Arial" w:cs="Arial"/>
        </w:rPr>
        <w:t xml:space="preserve"> and </w:t>
      </w:r>
      <w:r w:rsidR="009B1135">
        <w:rPr>
          <w:rFonts w:ascii="Arial" w:hAnsi="Arial" w:cs="Arial"/>
        </w:rPr>
        <w:t>concluded that “</w:t>
      </w:r>
      <w:r w:rsidR="004F3CC1">
        <w:rPr>
          <w:rFonts w:ascii="Arial" w:hAnsi="Arial" w:cs="Arial"/>
        </w:rPr>
        <w:t>[b]eca</w:t>
      </w:r>
      <w:r w:rsidR="00E93692">
        <w:rPr>
          <w:rFonts w:ascii="Arial" w:hAnsi="Arial" w:cs="Arial"/>
        </w:rPr>
        <w:t>u</w:t>
      </w:r>
      <w:r w:rsidR="004F3CC1">
        <w:rPr>
          <w:rFonts w:ascii="Arial" w:hAnsi="Arial" w:cs="Arial"/>
        </w:rPr>
        <w:t>s</w:t>
      </w:r>
      <w:r w:rsidR="00E93692">
        <w:rPr>
          <w:rFonts w:ascii="Arial" w:hAnsi="Arial" w:cs="Arial"/>
        </w:rPr>
        <w:t xml:space="preserve">e the </w:t>
      </w:r>
      <w:r w:rsidR="00E93692" w:rsidRPr="00881FDE">
        <w:rPr>
          <w:rFonts w:ascii="Arial" w:hAnsi="Arial" w:cs="Arial"/>
          <w:i/>
        </w:rPr>
        <w:t>rates</w:t>
      </w:r>
      <w:r w:rsidR="00E93692">
        <w:rPr>
          <w:rFonts w:ascii="Arial" w:hAnsi="Arial" w:cs="Arial"/>
        </w:rPr>
        <w:t xml:space="preserve"> of </w:t>
      </w:r>
      <w:r w:rsidR="00432872">
        <w:rPr>
          <w:rFonts w:ascii="Arial" w:hAnsi="Arial" w:cs="Arial"/>
        </w:rPr>
        <w:t>[the REPs]</w:t>
      </w:r>
      <w:r w:rsidR="00E93692">
        <w:rPr>
          <w:rFonts w:ascii="Arial" w:hAnsi="Arial" w:cs="Arial"/>
        </w:rPr>
        <w:t xml:space="preserve"> may be affected by the outcome of this proceeding</w:t>
      </w:r>
      <w:r w:rsidR="008B3497">
        <w:rPr>
          <w:rFonts w:ascii="Arial" w:hAnsi="Arial" w:cs="Arial"/>
        </w:rPr>
        <w:t>, t</w:t>
      </w:r>
      <w:r w:rsidR="009B1135">
        <w:rPr>
          <w:rFonts w:ascii="Arial" w:hAnsi="Arial" w:cs="Arial"/>
        </w:rPr>
        <w:t>hese parties have shown a justiciable interest sufficient to intervene.”</w:t>
      </w:r>
      <w:r w:rsidR="00432872">
        <w:rPr>
          <w:rStyle w:val="FootnoteReference"/>
          <w:rFonts w:ascii="Arial" w:hAnsi="Arial" w:cs="Arial"/>
        </w:rPr>
        <w:footnoteReference w:id="23"/>
      </w:r>
      <w:r w:rsidR="00881FDE">
        <w:rPr>
          <w:rFonts w:ascii="Arial" w:hAnsi="Arial" w:cs="Arial"/>
        </w:rPr>
        <w:t xml:space="preserve"> </w:t>
      </w:r>
      <w:r w:rsidR="0027338D">
        <w:rPr>
          <w:rFonts w:ascii="Arial" w:hAnsi="Arial" w:cs="Arial"/>
        </w:rPr>
        <w:t xml:space="preserve"> </w:t>
      </w:r>
      <w:r w:rsidR="00881FDE">
        <w:rPr>
          <w:rFonts w:ascii="Arial" w:hAnsi="Arial" w:cs="Arial"/>
        </w:rPr>
        <w:t>(Emphasis added.)</w:t>
      </w:r>
      <w:r w:rsidR="009B1135">
        <w:rPr>
          <w:rFonts w:ascii="Arial" w:hAnsi="Arial" w:cs="Arial"/>
        </w:rPr>
        <w:t xml:space="preserve">  </w:t>
      </w:r>
      <w:r w:rsidR="004F3CC1">
        <w:rPr>
          <w:rFonts w:ascii="Arial" w:hAnsi="Arial" w:cs="Arial"/>
        </w:rPr>
        <w:t>H</w:t>
      </w:r>
      <w:r w:rsidR="009B1135">
        <w:rPr>
          <w:rFonts w:ascii="Arial" w:hAnsi="Arial" w:cs="Arial"/>
        </w:rPr>
        <w:t xml:space="preserve">ere, </w:t>
      </w:r>
      <w:r w:rsidR="004F3CC1">
        <w:rPr>
          <w:rFonts w:ascii="Arial" w:hAnsi="Arial" w:cs="Arial"/>
        </w:rPr>
        <w:t xml:space="preserve">however, </w:t>
      </w:r>
      <w:r w:rsidR="009B1135">
        <w:rPr>
          <w:rFonts w:ascii="Arial" w:hAnsi="Arial" w:cs="Arial"/>
        </w:rPr>
        <w:t xml:space="preserve">Cottonwood has shown no such </w:t>
      </w:r>
      <w:r w:rsidR="00B53CBE">
        <w:rPr>
          <w:rFonts w:ascii="Arial" w:hAnsi="Arial" w:cs="Arial"/>
        </w:rPr>
        <w:t xml:space="preserve">direct tie </w:t>
      </w:r>
      <w:r>
        <w:rPr>
          <w:rFonts w:ascii="Arial" w:hAnsi="Arial" w:cs="Arial"/>
        </w:rPr>
        <w:t xml:space="preserve">to </w:t>
      </w:r>
      <w:r w:rsidR="00B53CBE">
        <w:rPr>
          <w:rFonts w:ascii="Arial" w:hAnsi="Arial" w:cs="Arial"/>
        </w:rPr>
        <w:t xml:space="preserve">or </w:t>
      </w:r>
      <w:r w:rsidR="009B1135">
        <w:rPr>
          <w:rFonts w:ascii="Arial" w:hAnsi="Arial" w:cs="Arial"/>
        </w:rPr>
        <w:t xml:space="preserve">interest.  </w:t>
      </w:r>
    </w:p>
    <w:p w:rsidR="009B1135" w:rsidRDefault="009B1135" w:rsidP="00D45CF6">
      <w:pPr>
        <w:spacing w:after="0" w:line="480" w:lineRule="auto"/>
        <w:ind w:firstLine="749"/>
        <w:jc w:val="both"/>
        <w:rPr>
          <w:rFonts w:ascii="Arial" w:hAnsi="Arial" w:cs="Arial"/>
        </w:rPr>
      </w:pPr>
      <w:r>
        <w:rPr>
          <w:rFonts w:ascii="Arial" w:hAnsi="Arial" w:cs="Arial"/>
        </w:rPr>
        <w:t>Finally, no party appealed Order No. 5 and thus it is not known how the Commission would have decided the issue</w:t>
      </w:r>
      <w:r w:rsidR="004F3CC1">
        <w:rPr>
          <w:rFonts w:ascii="Arial" w:hAnsi="Arial" w:cs="Arial"/>
        </w:rPr>
        <w:t>.  I</w:t>
      </w:r>
      <w:r>
        <w:rPr>
          <w:rFonts w:ascii="Arial" w:hAnsi="Arial" w:cs="Arial"/>
        </w:rPr>
        <w:t>n contrast, ETI has cited multiple dockets above in which the Commission itself</w:t>
      </w:r>
      <w:r w:rsidR="00CC07D4">
        <w:rPr>
          <w:rFonts w:ascii="Arial" w:hAnsi="Arial" w:cs="Arial"/>
        </w:rPr>
        <w:t xml:space="preserve"> has rejected interventions such as Cottonwood’s</w:t>
      </w:r>
      <w:r w:rsidR="00881FDE">
        <w:rPr>
          <w:rFonts w:ascii="Arial" w:hAnsi="Arial" w:cs="Arial"/>
        </w:rPr>
        <w:t xml:space="preserve"> for cases </w:t>
      </w:r>
      <w:r w:rsidR="00CC07D4">
        <w:rPr>
          <w:rFonts w:ascii="Arial" w:hAnsi="Arial" w:cs="Arial"/>
        </w:rPr>
        <w:t>affecting ETI’s service area</w:t>
      </w:r>
      <w:r w:rsidR="00AD3652">
        <w:rPr>
          <w:rFonts w:ascii="Arial" w:hAnsi="Arial" w:cs="Arial"/>
        </w:rPr>
        <w:t>,</w:t>
      </w:r>
      <w:r w:rsidR="00CC07D4">
        <w:rPr>
          <w:rFonts w:ascii="Arial" w:hAnsi="Arial" w:cs="Arial"/>
        </w:rPr>
        <w:t xml:space="preserve"> </w:t>
      </w:r>
      <w:r w:rsidR="00881FDE">
        <w:rPr>
          <w:rFonts w:ascii="Arial" w:hAnsi="Arial" w:cs="Arial"/>
        </w:rPr>
        <w:t>where</w:t>
      </w:r>
      <w:r w:rsidR="00244529">
        <w:rPr>
          <w:rFonts w:ascii="Arial" w:hAnsi="Arial" w:cs="Arial"/>
        </w:rPr>
        <w:t xml:space="preserve">, unlike in </w:t>
      </w:r>
      <w:r w:rsidR="00062865">
        <w:rPr>
          <w:rFonts w:ascii="Arial" w:hAnsi="Arial" w:cs="Arial"/>
        </w:rPr>
        <w:t xml:space="preserve">the </w:t>
      </w:r>
      <w:r w:rsidR="00244529">
        <w:rPr>
          <w:rFonts w:ascii="Arial" w:hAnsi="Arial" w:cs="Arial"/>
        </w:rPr>
        <w:t>ERCOT</w:t>
      </w:r>
      <w:r w:rsidR="00062865">
        <w:rPr>
          <w:rFonts w:ascii="Arial" w:hAnsi="Arial" w:cs="Arial"/>
        </w:rPr>
        <w:t xml:space="preserve"> areas at issue in Docket No. 2580</w:t>
      </w:r>
      <w:r w:rsidR="00B23DA8">
        <w:rPr>
          <w:rFonts w:ascii="Arial" w:hAnsi="Arial" w:cs="Arial"/>
        </w:rPr>
        <w:t>2</w:t>
      </w:r>
      <w:r w:rsidR="00244529">
        <w:rPr>
          <w:rFonts w:ascii="Arial" w:hAnsi="Arial" w:cs="Arial"/>
        </w:rPr>
        <w:t>, there is a</w:t>
      </w:r>
      <w:r w:rsidR="00CC07D4">
        <w:rPr>
          <w:rFonts w:ascii="Arial" w:hAnsi="Arial" w:cs="Arial"/>
        </w:rPr>
        <w:t xml:space="preserve"> dividing line between</w:t>
      </w:r>
      <w:r w:rsidR="00881FDE">
        <w:rPr>
          <w:rFonts w:ascii="Arial" w:hAnsi="Arial" w:cs="Arial"/>
        </w:rPr>
        <w:t xml:space="preserve"> </w:t>
      </w:r>
      <w:r w:rsidR="00244529">
        <w:rPr>
          <w:rFonts w:ascii="Arial" w:hAnsi="Arial" w:cs="Arial"/>
        </w:rPr>
        <w:t xml:space="preserve">the Commission’s jurisdiction over </w:t>
      </w:r>
      <w:r w:rsidR="00881FDE">
        <w:rPr>
          <w:rFonts w:ascii="Arial" w:hAnsi="Arial" w:cs="Arial"/>
        </w:rPr>
        <w:t>retail</w:t>
      </w:r>
      <w:r w:rsidR="00244529">
        <w:rPr>
          <w:rFonts w:ascii="Arial" w:hAnsi="Arial" w:cs="Arial"/>
        </w:rPr>
        <w:t xml:space="preserve"> issues and the FERC’s jurisdiction over </w:t>
      </w:r>
      <w:r w:rsidR="00881FDE">
        <w:rPr>
          <w:rFonts w:ascii="Arial" w:hAnsi="Arial" w:cs="Arial"/>
        </w:rPr>
        <w:t>wholesale issues</w:t>
      </w:r>
      <w:r w:rsidR="00CC07D4">
        <w:rPr>
          <w:rFonts w:ascii="Arial" w:hAnsi="Arial" w:cs="Arial"/>
        </w:rPr>
        <w:t>.  In the cases</w:t>
      </w:r>
      <w:r w:rsidR="00244529">
        <w:rPr>
          <w:rFonts w:ascii="Arial" w:hAnsi="Arial" w:cs="Arial"/>
        </w:rPr>
        <w:t xml:space="preserve"> cited by ETI</w:t>
      </w:r>
      <w:r w:rsidR="00CC07D4">
        <w:rPr>
          <w:rFonts w:ascii="Arial" w:hAnsi="Arial" w:cs="Arial"/>
        </w:rPr>
        <w:t>, the Commission</w:t>
      </w:r>
      <w:r>
        <w:rPr>
          <w:rFonts w:ascii="Arial" w:hAnsi="Arial" w:cs="Arial"/>
        </w:rPr>
        <w:t xml:space="preserve"> has considered and rejected interventions by </w:t>
      </w:r>
      <w:r w:rsidR="00CC07D4">
        <w:rPr>
          <w:rFonts w:ascii="Arial" w:hAnsi="Arial" w:cs="Arial"/>
        </w:rPr>
        <w:t>wholesale market participants</w:t>
      </w:r>
      <w:r w:rsidR="00A76B85">
        <w:rPr>
          <w:rFonts w:ascii="Arial" w:hAnsi="Arial" w:cs="Arial"/>
        </w:rPr>
        <w:t>, including Cottonwood</w:t>
      </w:r>
      <w:r w:rsidR="006B5306">
        <w:rPr>
          <w:rFonts w:ascii="Arial" w:hAnsi="Arial" w:cs="Arial"/>
        </w:rPr>
        <w:t>.</w:t>
      </w:r>
    </w:p>
    <w:p w:rsidR="00B53CBE" w:rsidRPr="00001520" w:rsidRDefault="00B53CBE" w:rsidP="00001520">
      <w:pPr>
        <w:pStyle w:val="Level2"/>
      </w:pPr>
      <w:bookmarkStart w:id="12" w:name="_Toc254695656"/>
      <w:r w:rsidRPr="00001520">
        <w:t>The Commission Can Lim</w:t>
      </w:r>
      <w:r w:rsidR="0089427A" w:rsidRPr="00001520">
        <w:t>it the Scope of an Intervention</w:t>
      </w:r>
      <w:r w:rsidR="00244529" w:rsidRPr="00001520">
        <w:t>.</w:t>
      </w:r>
      <w:bookmarkEnd w:id="12"/>
    </w:p>
    <w:p w:rsidR="007D34AA" w:rsidRPr="00640D7B" w:rsidRDefault="0089427A" w:rsidP="00D45CF6">
      <w:pPr>
        <w:spacing w:after="0" w:line="480" w:lineRule="auto"/>
        <w:ind w:firstLine="749"/>
        <w:jc w:val="both"/>
        <w:rPr>
          <w:rFonts w:ascii="Arial" w:hAnsi="Arial" w:cs="Arial"/>
        </w:rPr>
      </w:pPr>
      <w:r>
        <w:rPr>
          <w:rFonts w:ascii="Arial" w:hAnsi="Arial" w:cs="Arial"/>
        </w:rPr>
        <w:t xml:space="preserve">As noted by Cottonwood on page 12 of its appeal, </w:t>
      </w:r>
      <w:r w:rsidR="00B53CBE">
        <w:rPr>
          <w:rFonts w:ascii="Arial" w:hAnsi="Arial" w:cs="Arial"/>
        </w:rPr>
        <w:t>ETI ask</w:t>
      </w:r>
      <w:r>
        <w:rPr>
          <w:rFonts w:ascii="Arial" w:hAnsi="Arial" w:cs="Arial"/>
        </w:rPr>
        <w:t>s</w:t>
      </w:r>
      <w:r w:rsidR="00B53CBE">
        <w:rPr>
          <w:rFonts w:ascii="Arial" w:hAnsi="Arial" w:cs="Arial"/>
        </w:rPr>
        <w:t xml:space="preserve"> that Cottonwood’s intervention</w:t>
      </w:r>
      <w:r w:rsidR="00244529">
        <w:rPr>
          <w:rFonts w:ascii="Arial" w:hAnsi="Arial" w:cs="Arial"/>
        </w:rPr>
        <w:t>,</w:t>
      </w:r>
      <w:r w:rsidR="00B53CBE">
        <w:rPr>
          <w:rFonts w:ascii="Arial" w:hAnsi="Arial" w:cs="Arial"/>
        </w:rPr>
        <w:t xml:space="preserve"> i</w:t>
      </w:r>
      <w:r w:rsidR="00244529">
        <w:rPr>
          <w:rFonts w:ascii="Arial" w:hAnsi="Arial" w:cs="Arial"/>
        </w:rPr>
        <w:t>f</w:t>
      </w:r>
      <w:r w:rsidR="00B53CBE">
        <w:rPr>
          <w:rFonts w:ascii="Arial" w:hAnsi="Arial" w:cs="Arial"/>
        </w:rPr>
        <w:t xml:space="preserve"> granted, </w:t>
      </w:r>
      <w:r>
        <w:rPr>
          <w:rFonts w:ascii="Arial" w:hAnsi="Arial" w:cs="Arial"/>
        </w:rPr>
        <w:t>be</w:t>
      </w:r>
      <w:r w:rsidR="00B53CBE">
        <w:rPr>
          <w:rFonts w:ascii="Arial" w:hAnsi="Arial" w:cs="Arial"/>
        </w:rPr>
        <w:t xml:space="preserve"> limited </w:t>
      </w:r>
      <w:r>
        <w:rPr>
          <w:rFonts w:ascii="Arial" w:hAnsi="Arial" w:cs="Arial"/>
        </w:rPr>
        <w:t xml:space="preserve">in scope </w:t>
      </w:r>
      <w:r w:rsidR="00B53CBE">
        <w:rPr>
          <w:rFonts w:ascii="Arial" w:hAnsi="Arial" w:cs="Arial"/>
        </w:rPr>
        <w:t xml:space="preserve">to only those areas where it </w:t>
      </w:r>
      <w:r w:rsidR="00BE5445">
        <w:rPr>
          <w:rFonts w:ascii="Arial" w:hAnsi="Arial" w:cs="Arial"/>
        </w:rPr>
        <w:t>demonstrates</w:t>
      </w:r>
      <w:r w:rsidR="00B53CBE">
        <w:rPr>
          <w:rFonts w:ascii="Arial" w:hAnsi="Arial" w:cs="Arial"/>
        </w:rPr>
        <w:t xml:space="preserve"> a justiciable inter</w:t>
      </w:r>
      <w:r w:rsidR="007D34AA">
        <w:rPr>
          <w:rFonts w:ascii="Arial" w:hAnsi="Arial" w:cs="Arial"/>
        </w:rPr>
        <w:t xml:space="preserve">est. </w:t>
      </w:r>
      <w:r w:rsidR="002D1467">
        <w:rPr>
          <w:rFonts w:ascii="Arial" w:hAnsi="Arial" w:cs="Arial"/>
        </w:rPr>
        <w:t xml:space="preserve"> </w:t>
      </w:r>
      <w:r w:rsidR="00B53CBE">
        <w:rPr>
          <w:rFonts w:ascii="Arial" w:hAnsi="Arial" w:cs="Arial"/>
        </w:rPr>
        <w:t>Cott</w:t>
      </w:r>
      <w:r w:rsidR="007D34AA">
        <w:rPr>
          <w:rFonts w:ascii="Arial" w:hAnsi="Arial" w:cs="Arial"/>
        </w:rPr>
        <w:t>o</w:t>
      </w:r>
      <w:r w:rsidR="00B53CBE">
        <w:rPr>
          <w:rFonts w:ascii="Arial" w:hAnsi="Arial" w:cs="Arial"/>
        </w:rPr>
        <w:t xml:space="preserve">nwood </w:t>
      </w:r>
      <w:r>
        <w:rPr>
          <w:rFonts w:ascii="Arial" w:hAnsi="Arial" w:cs="Arial"/>
        </w:rPr>
        <w:t>asserts</w:t>
      </w:r>
      <w:r w:rsidR="007D34AA">
        <w:rPr>
          <w:rFonts w:ascii="Arial" w:hAnsi="Arial" w:cs="Arial"/>
        </w:rPr>
        <w:t xml:space="preserve"> that the </w:t>
      </w:r>
      <w:r w:rsidR="007D34AA" w:rsidRPr="00640D7B">
        <w:rPr>
          <w:rFonts w:ascii="Arial" w:hAnsi="Arial" w:cs="Arial"/>
        </w:rPr>
        <w:t xml:space="preserve">Commission has no authority for granting a request for a </w:t>
      </w:r>
      <w:r w:rsidR="009234A5">
        <w:rPr>
          <w:rFonts w:ascii="Arial" w:hAnsi="Arial" w:cs="Arial"/>
        </w:rPr>
        <w:t>li</w:t>
      </w:r>
      <w:r w:rsidR="007D34AA" w:rsidRPr="00640D7B">
        <w:rPr>
          <w:rFonts w:ascii="Arial" w:hAnsi="Arial" w:cs="Arial"/>
        </w:rPr>
        <w:t xml:space="preserve">mited scope of intervention.  </w:t>
      </w:r>
      <w:r w:rsidR="00244529">
        <w:rPr>
          <w:rFonts w:ascii="Arial" w:hAnsi="Arial" w:cs="Arial"/>
        </w:rPr>
        <w:t xml:space="preserve">Commission rules and precedent indicate that Cottonwood is </w:t>
      </w:r>
      <w:r w:rsidR="007D34AA" w:rsidRPr="00640D7B">
        <w:rPr>
          <w:rFonts w:ascii="Arial" w:hAnsi="Arial" w:cs="Arial"/>
        </w:rPr>
        <w:t>incorrect</w:t>
      </w:r>
      <w:r>
        <w:rPr>
          <w:rFonts w:ascii="Arial" w:hAnsi="Arial" w:cs="Arial"/>
        </w:rPr>
        <w:t>.</w:t>
      </w:r>
    </w:p>
    <w:p w:rsidR="007713EE" w:rsidRPr="00640D7B" w:rsidRDefault="00E2071D" w:rsidP="00D45CF6">
      <w:pPr>
        <w:spacing w:after="0" w:line="480" w:lineRule="auto"/>
        <w:ind w:firstLine="749"/>
        <w:jc w:val="both"/>
        <w:rPr>
          <w:rFonts w:ascii="Arial" w:hAnsi="Arial" w:cs="Arial"/>
          <w:color w:val="000000"/>
        </w:rPr>
      </w:pPr>
      <w:r w:rsidRPr="00640D7B">
        <w:rPr>
          <w:rFonts w:ascii="Arial" w:hAnsi="Arial" w:cs="Arial"/>
        </w:rPr>
        <w:lastRenderedPageBreak/>
        <w:t xml:space="preserve">The Commission’s rules </w:t>
      </w:r>
      <w:r w:rsidR="009E7A1E" w:rsidRPr="00640D7B">
        <w:rPr>
          <w:rFonts w:ascii="Arial" w:hAnsi="Arial" w:cs="Arial"/>
        </w:rPr>
        <w:t xml:space="preserve">expressly provide that a presiding officer </w:t>
      </w:r>
      <w:r w:rsidR="00244529" w:rsidRPr="00640D7B">
        <w:rPr>
          <w:rFonts w:ascii="Arial" w:hAnsi="Arial" w:cs="Arial"/>
          <w:color w:val="000000"/>
        </w:rPr>
        <w:t xml:space="preserve">has </w:t>
      </w:r>
      <w:r w:rsidR="00244529">
        <w:rPr>
          <w:rFonts w:ascii="Arial" w:hAnsi="Arial" w:cs="Arial"/>
          <w:color w:val="000000"/>
        </w:rPr>
        <w:t>“</w:t>
      </w:r>
      <w:r w:rsidR="00244529" w:rsidRPr="00640D7B">
        <w:rPr>
          <w:rFonts w:ascii="Arial" w:hAnsi="Arial" w:cs="Arial"/>
          <w:color w:val="000000"/>
        </w:rPr>
        <w:t xml:space="preserve">broad discretion in conducting the course, conduct, and scope of the hearing. </w:t>
      </w:r>
      <w:r w:rsidR="00244529">
        <w:rPr>
          <w:rFonts w:ascii="Arial" w:hAnsi="Arial" w:cs="Arial"/>
          <w:color w:val="000000"/>
        </w:rPr>
        <w:t xml:space="preserve"> </w:t>
      </w:r>
      <w:r w:rsidR="00244529" w:rsidRPr="00640D7B">
        <w:rPr>
          <w:rFonts w:ascii="Arial" w:hAnsi="Arial" w:cs="Arial"/>
          <w:color w:val="000000"/>
        </w:rPr>
        <w:t>The presiding officer's authority includes, but i</w:t>
      </w:r>
      <w:r w:rsidR="00AD3652">
        <w:rPr>
          <w:rFonts w:ascii="Arial" w:hAnsi="Arial" w:cs="Arial"/>
          <w:color w:val="000000"/>
        </w:rPr>
        <w:t xml:space="preserve">s not limited to, the power to . . . </w:t>
      </w:r>
      <w:r w:rsidR="00244529" w:rsidRPr="00640D7B">
        <w:rPr>
          <w:rFonts w:ascii="Arial" w:hAnsi="Arial" w:cs="Arial"/>
          <w:color w:val="000000"/>
        </w:rPr>
        <w:t xml:space="preserve">take any other action not prohibited by law or by commission rule which is necessary </w:t>
      </w:r>
      <w:r w:rsidR="00244529" w:rsidRPr="002E0678">
        <w:rPr>
          <w:rFonts w:ascii="Arial" w:hAnsi="Arial" w:cs="Arial"/>
        </w:rPr>
        <w:t>for</w:t>
      </w:r>
      <w:r w:rsidR="00244529" w:rsidRPr="00640D7B">
        <w:rPr>
          <w:rFonts w:ascii="Arial" w:hAnsi="Arial" w:cs="Arial"/>
          <w:color w:val="000000"/>
        </w:rPr>
        <w:t xml:space="preserve"> an efficient and fair hearing.</w:t>
      </w:r>
      <w:r w:rsidR="00244529">
        <w:rPr>
          <w:rFonts w:ascii="Arial" w:hAnsi="Arial" w:cs="Arial"/>
          <w:color w:val="000000"/>
        </w:rPr>
        <w:t>”</w:t>
      </w:r>
      <w:r w:rsidR="00244529">
        <w:rPr>
          <w:rStyle w:val="FootnoteReference"/>
          <w:rFonts w:ascii="Arial" w:hAnsi="Arial" w:cs="Arial"/>
          <w:color w:val="000000"/>
        </w:rPr>
        <w:footnoteReference w:id="24"/>
      </w:r>
      <w:r w:rsidR="00244529">
        <w:rPr>
          <w:rFonts w:ascii="Arial" w:hAnsi="Arial" w:cs="Arial"/>
          <w:color w:val="000000"/>
        </w:rPr>
        <w:t xml:space="preserve">  </w:t>
      </w:r>
      <w:r w:rsidR="001B31D5">
        <w:rPr>
          <w:rFonts w:ascii="Arial" w:hAnsi="Arial" w:cs="Arial"/>
          <w:color w:val="000000"/>
        </w:rPr>
        <w:t>W</w:t>
      </w:r>
      <w:r w:rsidR="007713EE" w:rsidRPr="00640D7B">
        <w:rPr>
          <w:rFonts w:ascii="Arial" w:hAnsi="Arial" w:cs="Arial"/>
          <w:color w:val="000000"/>
        </w:rPr>
        <w:t xml:space="preserve">ell within these </w:t>
      </w:r>
      <w:r w:rsidR="00AD3652">
        <w:rPr>
          <w:rFonts w:ascii="Arial" w:hAnsi="Arial" w:cs="Arial"/>
          <w:color w:val="000000"/>
        </w:rPr>
        <w:t xml:space="preserve">enumerated </w:t>
      </w:r>
      <w:r w:rsidR="007713EE" w:rsidRPr="00640D7B">
        <w:rPr>
          <w:rFonts w:ascii="Arial" w:hAnsi="Arial" w:cs="Arial"/>
          <w:color w:val="000000"/>
        </w:rPr>
        <w:t>powers</w:t>
      </w:r>
      <w:r w:rsidR="0016658D">
        <w:rPr>
          <w:rFonts w:ascii="Arial" w:hAnsi="Arial" w:cs="Arial"/>
          <w:color w:val="000000"/>
        </w:rPr>
        <w:t xml:space="preserve"> granted to presiding officers</w:t>
      </w:r>
      <w:r w:rsidR="007713EE" w:rsidRPr="00640D7B">
        <w:rPr>
          <w:rFonts w:ascii="Arial" w:hAnsi="Arial" w:cs="Arial"/>
          <w:color w:val="000000"/>
        </w:rPr>
        <w:t xml:space="preserve"> is the power to limit the scope of participation of an intervenor </w:t>
      </w:r>
      <w:r w:rsidR="00640D7B">
        <w:rPr>
          <w:rFonts w:ascii="Arial" w:hAnsi="Arial" w:cs="Arial"/>
          <w:color w:val="000000"/>
        </w:rPr>
        <w:t>under the present circumstances</w:t>
      </w:r>
      <w:r w:rsidR="0016658D">
        <w:rPr>
          <w:rFonts w:ascii="Arial" w:hAnsi="Arial" w:cs="Arial"/>
          <w:color w:val="000000"/>
        </w:rPr>
        <w:t xml:space="preserve">.  Further, </w:t>
      </w:r>
      <w:r w:rsidR="00640D7B">
        <w:rPr>
          <w:rFonts w:ascii="Arial" w:hAnsi="Arial" w:cs="Arial"/>
          <w:color w:val="000000"/>
        </w:rPr>
        <w:t>these rules do not prescribe</w:t>
      </w:r>
      <w:r w:rsidR="007713EE" w:rsidRPr="00640D7B">
        <w:rPr>
          <w:rFonts w:ascii="Arial" w:hAnsi="Arial" w:cs="Arial"/>
          <w:color w:val="000000"/>
        </w:rPr>
        <w:t xml:space="preserve"> the full extent of the Commission’s authority</w:t>
      </w:r>
      <w:r w:rsidR="0027338D">
        <w:rPr>
          <w:rFonts w:ascii="Arial" w:hAnsi="Arial" w:cs="Arial"/>
          <w:color w:val="000000"/>
        </w:rPr>
        <w:t>,</w:t>
      </w:r>
      <w:r w:rsidR="007713EE" w:rsidRPr="00640D7B">
        <w:rPr>
          <w:rFonts w:ascii="Arial" w:hAnsi="Arial" w:cs="Arial"/>
          <w:color w:val="000000"/>
        </w:rPr>
        <w:t xml:space="preserve"> but simply the authority </w:t>
      </w:r>
      <w:r w:rsidR="00640D7B">
        <w:rPr>
          <w:rFonts w:ascii="Arial" w:hAnsi="Arial" w:cs="Arial"/>
          <w:color w:val="000000"/>
        </w:rPr>
        <w:t xml:space="preserve">that </w:t>
      </w:r>
      <w:r w:rsidR="007713EE" w:rsidRPr="00640D7B">
        <w:rPr>
          <w:rFonts w:ascii="Arial" w:hAnsi="Arial" w:cs="Arial"/>
          <w:color w:val="000000"/>
        </w:rPr>
        <w:t xml:space="preserve">the Commission has by rule conveyed on </w:t>
      </w:r>
      <w:r w:rsidR="00640D7B">
        <w:rPr>
          <w:rFonts w:ascii="Arial" w:hAnsi="Arial" w:cs="Arial"/>
          <w:color w:val="000000"/>
        </w:rPr>
        <w:t xml:space="preserve">a </w:t>
      </w:r>
      <w:r w:rsidR="007713EE" w:rsidRPr="00640D7B">
        <w:rPr>
          <w:rFonts w:ascii="Arial" w:hAnsi="Arial" w:cs="Arial"/>
          <w:color w:val="000000"/>
        </w:rPr>
        <w:t>presiding officer</w:t>
      </w:r>
      <w:r w:rsidR="00FB4E62">
        <w:rPr>
          <w:rFonts w:ascii="Arial" w:hAnsi="Arial" w:cs="Arial"/>
          <w:color w:val="000000"/>
        </w:rPr>
        <w:t>.</w:t>
      </w:r>
      <w:r w:rsidR="0016658D">
        <w:rPr>
          <w:rFonts w:ascii="Arial" w:hAnsi="Arial" w:cs="Arial"/>
          <w:color w:val="000000"/>
        </w:rPr>
        <w:t xml:space="preserve">  </w:t>
      </w:r>
    </w:p>
    <w:p w:rsidR="00BE4FEF" w:rsidRDefault="007713EE" w:rsidP="00D45CF6">
      <w:pPr>
        <w:spacing w:after="0" w:line="480" w:lineRule="auto"/>
        <w:ind w:firstLine="749"/>
        <w:jc w:val="both"/>
        <w:rPr>
          <w:rFonts w:ascii="Arial" w:hAnsi="Arial" w:cs="Arial"/>
        </w:rPr>
      </w:pPr>
      <w:r w:rsidRPr="00640D7B">
        <w:rPr>
          <w:rFonts w:ascii="Arial" w:hAnsi="Arial" w:cs="Arial"/>
          <w:color w:val="000000"/>
        </w:rPr>
        <w:t>Moreover, the Commission has previously limited the scope of an inte</w:t>
      </w:r>
      <w:r w:rsidR="009234A5">
        <w:rPr>
          <w:rFonts w:ascii="Arial" w:hAnsi="Arial" w:cs="Arial"/>
          <w:color w:val="000000"/>
        </w:rPr>
        <w:t>r</w:t>
      </w:r>
      <w:r w:rsidRPr="00640D7B">
        <w:rPr>
          <w:rFonts w:ascii="Arial" w:hAnsi="Arial" w:cs="Arial"/>
          <w:color w:val="000000"/>
        </w:rPr>
        <w:t>venor</w:t>
      </w:r>
      <w:r w:rsidR="0016658D">
        <w:rPr>
          <w:rFonts w:ascii="Arial" w:hAnsi="Arial" w:cs="Arial"/>
          <w:color w:val="000000"/>
        </w:rPr>
        <w:t>’</w:t>
      </w:r>
      <w:r w:rsidRPr="00640D7B">
        <w:rPr>
          <w:rFonts w:ascii="Arial" w:hAnsi="Arial" w:cs="Arial"/>
          <w:color w:val="000000"/>
        </w:rPr>
        <w:t>s participation in just the manner ETI requ</w:t>
      </w:r>
      <w:r w:rsidR="0016658D">
        <w:rPr>
          <w:rFonts w:ascii="Arial" w:hAnsi="Arial" w:cs="Arial"/>
          <w:color w:val="000000"/>
        </w:rPr>
        <w:t>e</w:t>
      </w:r>
      <w:r w:rsidRPr="00640D7B">
        <w:rPr>
          <w:rFonts w:ascii="Arial" w:hAnsi="Arial" w:cs="Arial"/>
          <w:color w:val="000000"/>
        </w:rPr>
        <w:t>sts</w:t>
      </w:r>
      <w:r w:rsidR="0027338D">
        <w:rPr>
          <w:rFonts w:ascii="Arial" w:hAnsi="Arial" w:cs="Arial"/>
          <w:color w:val="000000"/>
        </w:rPr>
        <w:t>:</w:t>
      </w:r>
      <w:r w:rsidR="00E554FF">
        <w:rPr>
          <w:rFonts w:ascii="Arial" w:hAnsi="Arial" w:cs="Arial"/>
          <w:color w:val="000000"/>
        </w:rPr>
        <w:t xml:space="preserve"> </w:t>
      </w:r>
      <w:r w:rsidR="009234A5">
        <w:rPr>
          <w:rFonts w:ascii="Arial" w:hAnsi="Arial" w:cs="Arial"/>
          <w:color w:val="000000"/>
        </w:rPr>
        <w:t xml:space="preserve">limiting the intervention of the </w:t>
      </w:r>
      <w:r w:rsidRPr="002E0678">
        <w:rPr>
          <w:rFonts w:ascii="Arial" w:hAnsi="Arial" w:cs="Arial"/>
        </w:rPr>
        <w:t>C</w:t>
      </w:r>
      <w:r w:rsidR="009234A5" w:rsidRPr="002E0678">
        <w:rPr>
          <w:rFonts w:ascii="Arial" w:hAnsi="Arial" w:cs="Arial"/>
        </w:rPr>
        <w:t>ommunications</w:t>
      </w:r>
      <w:r w:rsidR="009234A5">
        <w:rPr>
          <w:rFonts w:ascii="Arial" w:hAnsi="Arial" w:cs="Arial"/>
          <w:color w:val="000000"/>
        </w:rPr>
        <w:t xml:space="preserve"> </w:t>
      </w:r>
      <w:r w:rsidRPr="00640D7B">
        <w:rPr>
          <w:rFonts w:ascii="Arial" w:hAnsi="Arial" w:cs="Arial"/>
          <w:color w:val="000000"/>
        </w:rPr>
        <w:t>W</w:t>
      </w:r>
      <w:r w:rsidR="009234A5">
        <w:rPr>
          <w:rFonts w:ascii="Arial" w:hAnsi="Arial" w:cs="Arial"/>
          <w:color w:val="000000"/>
        </w:rPr>
        <w:t xml:space="preserve">orkers of </w:t>
      </w:r>
      <w:r w:rsidRPr="00640D7B">
        <w:rPr>
          <w:rFonts w:ascii="Arial" w:hAnsi="Arial" w:cs="Arial"/>
          <w:color w:val="000000"/>
        </w:rPr>
        <w:t>A</w:t>
      </w:r>
      <w:r w:rsidR="009234A5">
        <w:rPr>
          <w:rFonts w:ascii="Arial" w:hAnsi="Arial" w:cs="Arial"/>
          <w:color w:val="000000"/>
        </w:rPr>
        <w:t xml:space="preserve">merica </w:t>
      </w:r>
      <w:r w:rsidR="00E554FF">
        <w:rPr>
          <w:rFonts w:ascii="Arial" w:hAnsi="Arial" w:cs="Arial"/>
          <w:color w:val="000000"/>
        </w:rPr>
        <w:t>(</w:t>
      </w:r>
      <w:r w:rsidR="00E554FF" w:rsidRPr="00D45CF6">
        <w:rPr>
          <w:rFonts w:ascii="Arial" w:hAnsi="Arial" w:cs="Arial"/>
        </w:rPr>
        <w:t>CWA</w:t>
      </w:r>
      <w:r w:rsidR="00E554FF">
        <w:rPr>
          <w:rFonts w:ascii="Arial" w:hAnsi="Arial" w:cs="Arial"/>
          <w:color w:val="000000"/>
        </w:rPr>
        <w:t xml:space="preserve">) </w:t>
      </w:r>
      <w:r w:rsidR="009234A5">
        <w:rPr>
          <w:rFonts w:ascii="Arial" w:hAnsi="Arial" w:cs="Arial"/>
          <w:color w:val="000000"/>
        </w:rPr>
        <w:t xml:space="preserve">in a </w:t>
      </w:r>
      <w:r w:rsidR="00E554FF">
        <w:rPr>
          <w:rFonts w:ascii="Arial" w:hAnsi="Arial" w:cs="Arial"/>
          <w:color w:val="000000"/>
        </w:rPr>
        <w:t>rate</w:t>
      </w:r>
      <w:r w:rsidR="009234A5">
        <w:rPr>
          <w:rFonts w:ascii="Arial" w:hAnsi="Arial" w:cs="Arial"/>
          <w:color w:val="000000"/>
        </w:rPr>
        <w:t xml:space="preserve"> </w:t>
      </w:r>
      <w:r w:rsidR="00432872">
        <w:rPr>
          <w:rFonts w:ascii="Arial" w:hAnsi="Arial" w:cs="Arial"/>
          <w:color w:val="000000"/>
        </w:rPr>
        <w:t>case</w:t>
      </w:r>
      <w:r w:rsidR="009234A5">
        <w:rPr>
          <w:rFonts w:ascii="Arial" w:hAnsi="Arial" w:cs="Arial"/>
          <w:color w:val="000000"/>
        </w:rPr>
        <w:t xml:space="preserve"> </w:t>
      </w:r>
      <w:r w:rsidRPr="00640D7B">
        <w:rPr>
          <w:rFonts w:ascii="Arial" w:hAnsi="Arial" w:cs="Arial"/>
          <w:color w:val="000000"/>
        </w:rPr>
        <w:t xml:space="preserve">to those </w:t>
      </w:r>
      <w:r w:rsidR="00E554FF">
        <w:rPr>
          <w:rFonts w:ascii="Arial" w:hAnsi="Arial" w:cs="Arial"/>
          <w:color w:val="000000"/>
        </w:rPr>
        <w:t>specific subject areas in which CWA</w:t>
      </w:r>
      <w:r w:rsidRPr="00640D7B">
        <w:rPr>
          <w:rFonts w:ascii="Arial" w:hAnsi="Arial" w:cs="Arial"/>
          <w:color w:val="000000"/>
        </w:rPr>
        <w:t xml:space="preserve"> </w:t>
      </w:r>
      <w:r w:rsidRPr="005A30E2">
        <w:rPr>
          <w:rFonts w:ascii="Arial" w:hAnsi="Arial" w:cs="Arial"/>
          <w:color w:val="000000"/>
        </w:rPr>
        <w:t>had e</w:t>
      </w:r>
      <w:r w:rsidR="00C77BB9" w:rsidRPr="005A30E2">
        <w:rPr>
          <w:rFonts w:ascii="Arial" w:hAnsi="Arial" w:cs="Arial"/>
          <w:color w:val="000000"/>
        </w:rPr>
        <w:t>xpressed a particular interest.</w:t>
      </w:r>
      <w:r w:rsidR="00C77BB9" w:rsidRPr="005A30E2">
        <w:rPr>
          <w:rStyle w:val="FootnoteReference"/>
          <w:rFonts w:ascii="Arial" w:hAnsi="Arial" w:cs="Arial"/>
          <w:color w:val="000000"/>
        </w:rPr>
        <w:footnoteReference w:id="25"/>
      </w:r>
      <w:r w:rsidR="005A30E2" w:rsidRPr="005A30E2">
        <w:rPr>
          <w:rFonts w:ascii="Arial" w:hAnsi="Arial" w:cs="Arial"/>
          <w:color w:val="000000"/>
        </w:rPr>
        <w:t xml:space="preserve">  </w:t>
      </w:r>
      <w:r w:rsidR="00640D7B" w:rsidRPr="005A30E2">
        <w:rPr>
          <w:rFonts w:ascii="Arial" w:hAnsi="Arial" w:cs="Arial"/>
        </w:rPr>
        <w:t xml:space="preserve">The Commission </w:t>
      </w:r>
      <w:r w:rsidR="005A30E2" w:rsidRPr="005A30E2">
        <w:rPr>
          <w:rFonts w:ascii="Arial" w:hAnsi="Arial" w:cs="Arial"/>
        </w:rPr>
        <w:t>and its presiding officers likewise</w:t>
      </w:r>
      <w:r w:rsidR="005A30E2">
        <w:rPr>
          <w:rFonts w:ascii="Arial" w:hAnsi="Arial" w:cs="Arial"/>
        </w:rPr>
        <w:t xml:space="preserve"> have the authority here to limit the participation of Cottonwood to </w:t>
      </w:r>
      <w:r w:rsidR="003B64B1">
        <w:rPr>
          <w:rFonts w:ascii="Arial" w:hAnsi="Arial" w:cs="Arial"/>
        </w:rPr>
        <w:t xml:space="preserve">certain </w:t>
      </w:r>
      <w:r w:rsidR="00432872">
        <w:rPr>
          <w:rFonts w:ascii="Arial" w:hAnsi="Arial" w:cs="Arial"/>
        </w:rPr>
        <w:t xml:space="preserve">issues </w:t>
      </w:r>
      <w:r w:rsidR="003B64B1">
        <w:rPr>
          <w:rFonts w:ascii="Arial" w:hAnsi="Arial" w:cs="Arial"/>
        </w:rPr>
        <w:t>as requested by ETI</w:t>
      </w:r>
      <w:r w:rsidR="00432872">
        <w:rPr>
          <w:rFonts w:ascii="Arial" w:hAnsi="Arial" w:cs="Arial"/>
        </w:rPr>
        <w:t xml:space="preserve">. </w:t>
      </w:r>
    </w:p>
    <w:p w:rsidR="00DA149F" w:rsidRPr="00DA149F" w:rsidRDefault="00DA149F" w:rsidP="00A0794A">
      <w:pPr>
        <w:pStyle w:val="Heading1"/>
        <w:spacing w:after="0"/>
      </w:pPr>
      <w:bookmarkStart w:id="13" w:name="_Toc254695657"/>
      <w:r w:rsidRPr="00DA149F">
        <w:t>III.</w:t>
      </w:r>
      <w:r w:rsidRPr="00DA149F">
        <w:tab/>
        <w:t>RELIEF REQUESTED</w:t>
      </w:r>
      <w:bookmarkEnd w:id="13"/>
    </w:p>
    <w:p w:rsidR="00DA149F" w:rsidRPr="00DA149F" w:rsidRDefault="00DA149F" w:rsidP="00D45CF6">
      <w:pPr>
        <w:spacing w:after="0" w:line="480" w:lineRule="auto"/>
        <w:ind w:firstLine="749"/>
        <w:jc w:val="both"/>
        <w:rPr>
          <w:rFonts w:ascii="Arial" w:hAnsi="Arial" w:cs="Arial"/>
        </w:rPr>
      </w:pPr>
      <w:r w:rsidRPr="00DA149F">
        <w:rPr>
          <w:rFonts w:ascii="Arial" w:hAnsi="Arial" w:cs="Arial"/>
        </w:rPr>
        <w:t xml:space="preserve">For the reasons state above, </w:t>
      </w:r>
      <w:r w:rsidR="0016658D">
        <w:rPr>
          <w:rFonts w:ascii="Arial" w:hAnsi="Arial" w:cs="Arial"/>
        </w:rPr>
        <w:t>ETI</w:t>
      </w:r>
      <w:r w:rsidRPr="00DA149F">
        <w:rPr>
          <w:rFonts w:ascii="Arial" w:hAnsi="Arial" w:cs="Arial"/>
        </w:rPr>
        <w:t xml:space="preserve"> requests that the </w:t>
      </w:r>
      <w:r w:rsidR="00D305F3">
        <w:rPr>
          <w:rFonts w:ascii="Arial" w:hAnsi="Arial" w:cs="Arial"/>
        </w:rPr>
        <w:t>Commission</w:t>
      </w:r>
      <w:r w:rsidRPr="00DA149F">
        <w:rPr>
          <w:rFonts w:ascii="Arial" w:hAnsi="Arial" w:cs="Arial"/>
        </w:rPr>
        <w:t xml:space="preserve"> deny </w:t>
      </w:r>
      <w:r w:rsidR="0024285A">
        <w:rPr>
          <w:rFonts w:ascii="Arial" w:hAnsi="Arial" w:cs="Arial"/>
        </w:rPr>
        <w:t xml:space="preserve">the </w:t>
      </w:r>
      <w:r w:rsidRPr="00DA149F">
        <w:rPr>
          <w:rFonts w:ascii="Arial" w:hAnsi="Arial" w:cs="Arial"/>
        </w:rPr>
        <w:t>Cottonwood</w:t>
      </w:r>
      <w:r w:rsidR="0024285A">
        <w:rPr>
          <w:rFonts w:ascii="Arial" w:hAnsi="Arial" w:cs="Arial"/>
        </w:rPr>
        <w:t xml:space="preserve"> A</w:t>
      </w:r>
      <w:r w:rsidR="00D305F3">
        <w:rPr>
          <w:rFonts w:ascii="Arial" w:hAnsi="Arial" w:cs="Arial"/>
        </w:rPr>
        <w:t>ppeal</w:t>
      </w:r>
      <w:r w:rsidRPr="00DA149F">
        <w:rPr>
          <w:rFonts w:ascii="Arial" w:hAnsi="Arial" w:cs="Arial"/>
        </w:rPr>
        <w:t xml:space="preserve"> and grant the Company such other relief to which it is entitled.  Further, if the </w:t>
      </w:r>
      <w:r w:rsidR="00D305F3">
        <w:rPr>
          <w:rFonts w:ascii="Arial" w:hAnsi="Arial" w:cs="Arial"/>
        </w:rPr>
        <w:t>Commission</w:t>
      </w:r>
      <w:r w:rsidRPr="00DA149F">
        <w:rPr>
          <w:rFonts w:ascii="Arial" w:hAnsi="Arial" w:cs="Arial"/>
        </w:rPr>
        <w:t xml:space="preserve"> nevertheless allow</w:t>
      </w:r>
      <w:r w:rsidR="00D305F3">
        <w:rPr>
          <w:rFonts w:ascii="Arial" w:hAnsi="Arial" w:cs="Arial"/>
        </w:rPr>
        <w:t>s</w:t>
      </w:r>
      <w:r w:rsidRPr="00DA149F">
        <w:rPr>
          <w:rFonts w:ascii="Arial" w:hAnsi="Arial" w:cs="Arial"/>
        </w:rPr>
        <w:t xml:space="preserve"> Cottonwood to intervene, ETI asks that Cottonwood’s intervention be limited to those issues that the </w:t>
      </w:r>
      <w:r w:rsidR="00D305F3">
        <w:rPr>
          <w:rFonts w:ascii="Arial" w:hAnsi="Arial" w:cs="Arial"/>
        </w:rPr>
        <w:t>Commission</w:t>
      </w:r>
      <w:r w:rsidRPr="00DA149F">
        <w:rPr>
          <w:rFonts w:ascii="Arial" w:hAnsi="Arial" w:cs="Arial"/>
        </w:rPr>
        <w:t xml:space="preserve"> determine</w:t>
      </w:r>
      <w:r w:rsidR="00D305F3">
        <w:rPr>
          <w:rFonts w:ascii="Arial" w:hAnsi="Arial" w:cs="Arial"/>
        </w:rPr>
        <w:t>s</w:t>
      </w:r>
      <w:r w:rsidRPr="00DA149F">
        <w:rPr>
          <w:rFonts w:ascii="Arial" w:hAnsi="Arial" w:cs="Arial"/>
        </w:rPr>
        <w:t xml:space="preserve"> are </w:t>
      </w:r>
      <w:r w:rsidR="00D305F3">
        <w:rPr>
          <w:rFonts w:ascii="Arial" w:hAnsi="Arial" w:cs="Arial"/>
        </w:rPr>
        <w:t>related to</w:t>
      </w:r>
      <w:r w:rsidRPr="00DA149F">
        <w:rPr>
          <w:rFonts w:ascii="Arial" w:hAnsi="Arial" w:cs="Arial"/>
        </w:rPr>
        <w:t xml:space="preserve"> Cottonwood’s justiciable interest.</w:t>
      </w:r>
      <w:r w:rsidR="00EC346B">
        <w:rPr>
          <w:rFonts w:ascii="Arial" w:hAnsi="Arial" w:cs="Arial"/>
        </w:rPr>
        <w:t xml:space="preserve"> </w:t>
      </w:r>
    </w:p>
    <w:p w:rsidR="000E2081" w:rsidRDefault="000E2081">
      <w:pPr>
        <w:pStyle w:val="BodyText2"/>
        <w:keepNext/>
        <w:keepLines/>
        <w:spacing w:after="0" w:line="360" w:lineRule="auto"/>
        <w:ind w:left="3600" w:firstLine="720"/>
        <w:jc w:val="both"/>
        <w:rPr>
          <w:rFonts w:ascii="Arial" w:hAnsi="Arial" w:cs="Arial"/>
        </w:rPr>
      </w:pPr>
    </w:p>
    <w:p w:rsidR="00DC2646" w:rsidRPr="00010500" w:rsidRDefault="00DC2646">
      <w:pPr>
        <w:pStyle w:val="BodyText2"/>
        <w:keepNext/>
        <w:keepLines/>
        <w:spacing w:after="0" w:line="360" w:lineRule="auto"/>
        <w:ind w:left="3600" w:firstLine="720"/>
        <w:jc w:val="both"/>
        <w:rPr>
          <w:rFonts w:ascii="Arial" w:hAnsi="Arial" w:cs="Arial"/>
        </w:rPr>
      </w:pPr>
      <w:r w:rsidRPr="00010500">
        <w:rPr>
          <w:rFonts w:ascii="Arial" w:hAnsi="Arial" w:cs="Arial"/>
        </w:rPr>
        <w:t>Respectfully submitted,</w:t>
      </w:r>
    </w:p>
    <w:p w:rsidR="00DC2646"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Pr>
          <w:rFonts w:ascii="Arial" w:hAnsi="Arial" w:cs="Arial"/>
        </w:rPr>
        <w:t>Steven H. Neinast</w:t>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Assistant General Counsel</w:t>
      </w:r>
      <w:r w:rsidRPr="00010500">
        <w:rPr>
          <w:rFonts w:ascii="Arial" w:hAnsi="Arial" w:cs="Arial"/>
        </w:rPr>
        <w:tab/>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t>ENTERGY SERVICES, INC.</w:t>
      </w:r>
      <w:r w:rsidRPr="00010500">
        <w:rPr>
          <w:rFonts w:ascii="Arial" w:hAnsi="Arial" w:cs="Arial"/>
        </w:rPr>
        <w:tab/>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Pr>
          <w:rFonts w:ascii="Arial" w:hAnsi="Arial" w:cs="Arial"/>
        </w:rPr>
        <w:tab/>
      </w:r>
      <w:r>
        <w:rPr>
          <w:rFonts w:ascii="Arial" w:hAnsi="Arial" w:cs="Arial"/>
        </w:rPr>
        <w:tab/>
      </w:r>
      <w:smartTag w:uri="urn:schemas-microsoft-com:office:smarttags" w:element="PostalCode">
        <w:r>
          <w:rPr>
            <w:rFonts w:ascii="Arial" w:hAnsi="Arial" w:cs="Arial"/>
          </w:rPr>
          <w:t>919 Congress Avenue, Suite 701</w:t>
        </w:r>
      </w:smartTag>
      <w:r w:rsidRPr="00010500">
        <w:rPr>
          <w:rFonts w:ascii="Arial" w:hAnsi="Arial" w:cs="Arial"/>
        </w:rPr>
        <w:tab/>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smartTag w:uri="urn:schemas-microsoft-com:office:smarttags" w:element="PostalCode">
        <w:smartTag w:uri="urn:schemas-microsoft-com:office:smarttags" w:element="PostalCode">
          <w:r w:rsidRPr="00010500">
            <w:rPr>
              <w:rFonts w:ascii="Arial" w:hAnsi="Arial" w:cs="Arial"/>
            </w:rPr>
            <w:t>Austin</w:t>
          </w:r>
        </w:smartTag>
        <w:r w:rsidRPr="00010500">
          <w:rPr>
            <w:rFonts w:ascii="Arial" w:hAnsi="Arial" w:cs="Arial"/>
          </w:rPr>
          <w:t xml:space="preserve">, </w:t>
        </w:r>
        <w:smartTag w:uri="urn:schemas-microsoft-com:office:smarttags" w:element="PostalCode">
          <w:r w:rsidRPr="00010500">
            <w:rPr>
              <w:rFonts w:ascii="Arial" w:hAnsi="Arial" w:cs="Arial"/>
            </w:rPr>
            <w:t>Texas</w:t>
          </w:r>
        </w:smartTag>
        <w:r w:rsidRPr="00010500">
          <w:rPr>
            <w:rFonts w:ascii="Arial" w:hAnsi="Arial" w:cs="Arial"/>
          </w:rPr>
          <w:t xml:space="preserve"> </w:t>
        </w:r>
        <w:smartTag w:uri="urn:schemas-microsoft-com:office:smarttags" w:element="PostalCode">
          <w:r w:rsidRPr="00010500">
            <w:rPr>
              <w:rFonts w:ascii="Arial" w:hAnsi="Arial" w:cs="Arial"/>
            </w:rPr>
            <w:t>78701</w:t>
          </w:r>
        </w:smartTag>
      </w:smartTag>
      <w:r w:rsidRPr="00010500">
        <w:rPr>
          <w:rFonts w:ascii="Arial" w:hAnsi="Arial" w:cs="Arial"/>
        </w:rPr>
        <w:tab/>
      </w:r>
      <w:r w:rsidRPr="00010500">
        <w:rPr>
          <w:rFonts w:ascii="Arial" w:hAnsi="Arial" w:cs="Arial"/>
        </w:rPr>
        <w:tab/>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t>(512) 487-3957 telephone</w:t>
      </w:r>
      <w:r w:rsidRPr="00010500">
        <w:rPr>
          <w:rFonts w:ascii="Arial" w:hAnsi="Arial" w:cs="Arial"/>
        </w:rPr>
        <w:tab/>
      </w:r>
      <w:r w:rsidRPr="00010500">
        <w:rPr>
          <w:rFonts w:ascii="Arial" w:hAnsi="Arial" w:cs="Arial"/>
        </w:rPr>
        <w:tab/>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t>(512) 487-3958 facsimile</w:t>
      </w:r>
      <w:r w:rsidRPr="00010500">
        <w:rPr>
          <w:rFonts w:ascii="Arial" w:hAnsi="Arial" w:cs="Arial"/>
        </w:rPr>
        <w:tab/>
      </w:r>
      <w:r w:rsidRPr="00010500">
        <w:rPr>
          <w:rFonts w:ascii="Arial" w:hAnsi="Arial" w:cs="Arial"/>
        </w:rPr>
        <w:tab/>
      </w:r>
      <w:r w:rsidRPr="00010500">
        <w:rPr>
          <w:rFonts w:ascii="Arial" w:hAnsi="Arial" w:cs="Arial"/>
        </w:rPr>
        <w:tab/>
      </w:r>
    </w:p>
    <w:p w:rsidR="00DC2646" w:rsidRPr="00010500" w:rsidRDefault="00DC2646">
      <w:pPr>
        <w:pStyle w:val="BodyText2"/>
        <w:keepNext/>
        <w:keepLines/>
        <w:spacing w:after="0" w:line="240" w:lineRule="auto"/>
        <w:jc w:val="both"/>
        <w:rPr>
          <w:rFonts w:ascii="Arial" w:hAnsi="Arial" w:cs="Arial"/>
        </w:rPr>
      </w:pPr>
    </w:p>
    <w:p w:rsidR="00DC2646" w:rsidRPr="00010500" w:rsidRDefault="00DC2646">
      <w:pPr>
        <w:pStyle w:val="BodyText2"/>
        <w:keepNext/>
        <w:keepLines/>
        <w:spacing w:after="0" w:line="240" w:lineRule="auto"/>
        <w:jc w:val="both"/>
        <w:rPr>
          <w:rFonts w:ascii="Arial" w:hAnsi="Arial" w:cs="Arial"/>
        </w:rPr>
      </w:pPr>
    </w:p>
    <w:p w:rsidR="00DC2646"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John F. Williams</w:t>
      </w:r>
    </w:p>
    <w:p w:rsidR="00DC2646" w:rsidRDefault="00DC2646" w:rsidP="003D65C6">
      <w:pPr>
        <w:pStyle w:val="BodyText2"/>
        <w:keepNext/>
        <w:keepLines/>
        <w:spacing w:after="0" w:line="240" w:lineRule="auto"/>
        <w:ind w:left="4320"/>
        <w:jc w:val="both"/>
        <w:rPr>
          <w:rFonts w:ascii="Arial" w:hAnsi="Arial" w:cs="Arial"/>
        </w:rPr>
      </w:pPr>
      <w:r>
        <w:rPr>
          <w:rFonts w:ascii="Arial" w:hAnsi="Arial" w:cs="Arial"/>
        </w:rPr>
        <w:t>Jay Breedveld</w:t>
      </w:r>
    </w:p>
    <w:p w:rsidR="00DC2646" w:rsidRPr="00010500"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CLARK, THOMAS &amp; WINTERS,</w:t>
      </w:r>
    </w:p>
    <w:p w:rsidR="00DC2646" w:rsidRPr="00010500"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A Professional Corporation</w:t>
      </w:r>
      <w:r w:rsidRPr="00010500">
        <w:rPr>
          <w:rFonts w:ascii="Arial" w:hAnsi="Arial" w:cs="Arial"/>
        </w:rPr>
        <w:tab/>
      </w:r>
      <w:r w:rsidRPr="00010500">
        <w:rPr>
          <w:rFonts w:ascii="Arial" w:hAnsi="Arial" w:cs="Arial"/>
        </w:rPr>
        <w:tab/>
        <w:t xml:space="preserve"> </w:t>
      </w:r>
    </w:p>
    <w:p w:rsidR="003D65C6"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300 W. 6</w:t>
      </w:r>
      <w:r w:rsidRPr="00010500">
        <w:rPr>
          <w:rFonts w:ascii="Arial" w:hAnsi="Arial" w:cs="Arial"/>
          <w:vertAlign w:val="superscript"/>
        </w:rPr>
        <w:t>th</w:t>
      </w:r>
      <w:r w:rsidRPr="00010500">
        <w:rPr>
          <w:rFonts w:ascii="Arial" w:hAnsi="Arial" w:cs="Arial"/>
        </w:rPr>
        <w:t xml:space="preserve"> Street, 15</w:t>
      </w:r>
      <w:r w:rsidRPr="00010500">
        <w:rPr>
          <w:rFonts w:ascii="Arial" w:hAnsi="Arial" w:cs="Arial"/>
          <w:vertAlign w:val="superscript"/>
        </w:rPr>
        <w:t>th</w:t>
      </w:r>
      <w:r w:rsidRPr="00010500">
        <w:rPr>
          <w:rFonts w:ascii="Arial" w:hAnsi="Arial" w:cs="Arial"/>
        </w:rPr>
        <w:t xml:space="preserve"> Floor</w:t>
      </w:r>
      <w:r w:rsidRPr="00010500">
        <w:rPr>
          <w:rFonts w:ascii="Arial" w:hAnsi="Arial" w:cs="Arial"/>
        </w:rPr>
        <w:tab/>
      </w:r>
      <w:r w:rsidRPr="00010500">
        <w:rPr>
          <w:rFonts w:ascii="Arial" w:hAnsi="Arial" w:cs="Arial"/>
        </w:rPr>
        <w:tab/>
        <w:t xml:space="preserve"> </w:t>
      </w:r>
    </w:p>
    <w:p w:rsidR="00DC2646" w:rsidRPr="00010500"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P.O. Box 1148</w:t>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p>
    <w:p w:rsidR="003D65C6"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Austin, Texas 78767-1148</w:t>
      </w:r>
      <w:r w:rsidRPr="00010500">
        <w:rPr>
          <w:rFonts w:ascii="Arial" w:hAnsi="Arial" w:cs="Arial"/>
        </w:rPr>
        <w:tab/>
      </w:r>
      <w:r w:rsidRPr="00010500">
        <w:rPr>
          <w:rFonts w:ascii="Arial" w:hAnsi="Arial" w:cs="Arial"/>
        </w:rPr>
        <w:tab/>
      </w:r>
      <w:r w:rsidRPr="00010500">
        <w:rPr>
          <w:rFonts w:ascii="Arial" w:hAnsi="Arial" w:cs="Arial"/>
        </w:rPr>
        <w:tab/>
      </w:r>
    </w:p>
    <w:p w:rsidR="00DC2646" w:rsidRPr="00010500"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(512) 472-8800 telephone</w:t>
      </w:r>
    </w:p>
    <w:p w:rsidR="00DC2646" w:rsidRPr="00010500" w:rsidRDefault="00DC2646" w:rsidP="003D65C6">
      <w:pPr>
        <w:pStyle w:val="BodyText2"/>
        <w:keepNext/>
        <w:keepLines/>
        <w:spacing w:after="0" w:line="240" w:lineRule="auto"/>
        <w:ind w:left="4320"/>
        <w:jc w:val="both"/>
        <w:rPr>
          <w:rFonts w:ascii="Arial" w:hAnsi="Arial" w:cs="Arial"/>
        </w:rPr>
      </w:pPr>
      <w:r w:rsidRPr="00010500">
        <w:rPr>
          <w:rFonts w:ascii="Arial" w:hAnsi="Arial" w:cs="Arial"/>
        </w:rPr>
        <w:t>(512) 474-1129 facsimile</w:t>
      </w:r>
      <w:r w:rsidRPr="00010500">
        <w:rPr>
          <w:rFonts w:ascii="Arial" w:hAnsi="Arial" w:cs="Arial"/>
        </w:rPr>
        <w:tab/>
      </w:r>
      <w:r w:rsidRPr="00010500">
        <w:rPr>
          <w:rFonts w:ascii="Arial" w:hAnsi="Arial" w:cs="Arial"/>
        </w:rPr>
        <w:tab/>
      </w:r>
      <w:r w:rsidRPr="00010500">
        <w:rPr>
          <w:rFonts w:ascii="Arial" w:hAnsi="Arial" w:cs="Arial"/>
        </w:rPr>
        <w:tab/>
      </w:r>
    </w:p>
    <w:p w:rsidR="00DC2646" w:rsidRPr="00010500" w:rsidRDefault="00DC2646" w:rsidP="003D65C6">
      <w:pPr>
        <w:pStyle w:val="BodyText2"/>
        <w:keepNext/>
        <w:keepLines/>
        <w:spacing w:after="0" w:line="240" w:lineRule="auto"/>
        <w:ind w:left="4320"/>
        <w:jc w:val="both"/>
        <w:rPr>
          <w:rFonts w:ascii="Arial" w:hAnsi="Arial" w:cs="Arial"/>
        </w:rPr>
      </w:pPr>
    </w:p>
    <w:p w:rsidR="00DC2646" w:rsidRPr="00010500" w:rsidRDefault="00DC2646">
      <w:pPr>
        <w:pStyle w:val="BodyText2"/>
        <w:keepNext/>
        <w:keepLines/>
        <w:spacing w:after="0" w:line="240" w:lineRule="auto"/>
        <w:jc w:val="both"/>
        <w:rPr>
          <w:rFonts w:ascii="Arial" w:hAnsi="Arial" w:cs="Arial"/>
        </w:rPr>
      </w:pP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t>By:_________________________</w:t>
      </w:r>
    </w:p>
    <w:p w:rsidR="00DC2646"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00C263CD">
        <w:rPr>
          <w:rFonts w:ascii="Arial" w:hAnsi="Arial" w:cs="Arial"/>
        </w:rPr>
        <w:t>Everett Britt</w:t>
      </w:r>
    </w:p>
    <w:p w:rsidR="003074C8" w:rsidRPr="00010500" w:rsidRDefault="003074C8">
      <w:pPr>
        <w:pStyle w:val="BodyText2"/>
        <w:keepNext/>
        <w:keepLines/>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State Bar No. </w:t>
      </w:r>
      <w:r w:rsidR="00C263CD">
        <w:rPr>
          <w:rFonts w:ascii="Arial" w:hAnsi="Arial" w:cs="Arial"/>
        </w:rPr>
        <w:t>24001789</w:t>
      </w:r>
    </w:p>
    <w:p w:rsidR="00DC2646" w:rsidRPr="00010500" w:rsidRDefault="00DC2646">
      <w:pPr>
        <w:pStyle w:val="BodyText2"/>
        <w:keepNext/>
        <w:keepLines/>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p>
    <w:p w:rsidR="00DC2646" w:rsidRDefault="00DC2646">
      <w:pPr>
        <w:pStyle w:val="BodyText2"/>
        <w:spacing w:after="0" w:line="240" w:lineRule="auto"/>
        <w:jc w:val="both"/>
        <w:rPr>
          <w:rFonts w:ascii="Arial" w:hAnsi="Arial" w:cs="Arial"/>
        </w:rPr>
      </w:pP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sidRPr="00010500">
        <w:rPr>
          <w:rFonts w:ascii="Arial" w:hAnsi="Arial" w:cs="Arial"/>
        </w:rPr>
        <w:tab/>
      </w:r>
      <w:r>
        <w:rPr>
          <w:rFonts w:ascii="Arial" w:hAnsi="Arial" w:cs="Arial"/>
        </w:rPr>
        <w:t>ATTORNEYS FOR</w:t>
      </w:r>
    </w:p>
    <w:p w:rsidR="00DC2646" w:rsidRDefault="00C263CD" w:rsidP="00CD6329">
      <w:pPr>
        <w:pStyle w:val="BodyText2"/>
        <w:spacing w:after="0" w:line="240" w:lineRule="auto"/>
        <w:ind w:left="3600" w:firstLine="720"/>
        <w:jc w:val="both"/>
        <w:rPr>
          <w:rFonts w:ascii="Arial" w:hAnsi="Arial" w:cs="Arial"/>
        </w:rPr>
      </w:pPr>
      <w:r>
        <w:rPr>
          <w:rFonts w:ascii="Arial" w:hAnsi="Arial" w:cs="Arial"/>
        </w:rPr>
        <w:t>E</w:t>
      </w:r>
      <w:r w:rsidR="00DC2646">
        <w:rPr>
          <w:rFonts w:ascii="Arial" w:hAnsi="Arial" w:cs="Arial"/>
        </w:rPr>
        <w:t>NTERGY TEXAS, INC.</w:t>
      </w:r>
      <w:r w:rsidR="00DC2646" w:rsidRPr="00010500">
        <w:rPr>
          <w:rFonts w:ascii="Arial" w:hAnsi="Arial" w:cs="Arial"/>
        </w:rPr>
        <w:t xml:space="preserve"> </w:t>
      </w:r>
    </w:p>
    <w:p w:rsidR="00DC2646" w:rsidRPr="001F2E93" w:rsidRDefault="00DC2646" w:rsidP="00450FB4">
      <w:pPr>
        <w:pStyle w:val="BodyText"/>
        <w:jc w:val="center"/>
        <w:rPr>
          <w:rFonts w:ascii="Arial" w:hAnsi="Arial" w:cs="Arial"/>
          <w:b/>
        </w:rPr>
      </w:pPr>
      <w:r>
        <w:rPr>
          <w:rFonts w:ascii="Arial" w:hAnsi="Arial" w:cs="Arial"/>
        </w:rPr>
        <w:br w:type="page"/>
      </w:r>
      <w:r w:rsidRPr="001F2E93">
        <w:rPr>
          <w:rFonts w:ascii="Arial" w:hAnsi="Arial" w:cs="Arial"/>
          <w:b/>
        </w:rPr>
        <w:lastRenderedPageBreak/>
        <w:t>CERTIFICATE OF SERVICE</w:t>
      </w:r>
    </w:p>
    <w:p w:rsidR="00DC2646" w:rsidRPr="00A22C06" w:rsidRDefault="00DC2646" w:rsidP="00450FB4">
      <w:pPr>
        <w:pStyle w:val="BodyText"/>
        <w:rPr>
          <w:rFonts w:ascii="Arial" w:hAnsi="Arial" w:cs="Arial"/>
        </w:rPr>
      </w:pPr>
      <w:r w:rsidRPr="00A22C06">
        <w:rPr>
          <w:rFonts w:ascii="Arial" w:hAnsi="Arial" w:cs="Arial"/>
        </w:rPr>
        <w:tab/>
        <w:t xml:space="preserve">I certify that a copy of this document was served upon the Commission’s Legal Counsel and all parties of record on </w:t>
      </w:r>
      <w:r w:rsidR="00CE56FD">
        <w:rPr>
          <w:rFonts w:ascii="Arial" w:hAnsi="Arial" w:cs="Arial"/>
        </w:rPr>
        <w:t xml:space="preserve">February </w:t>
      </w:r>
      <w:r w:rsidR="006A5E7C">
        <w:rPr>
          <w:rFonts w:ascii="Arial" w:hAnsi="Arial" w:cs="Arial"/>
        </w:rPr>
        <w:t>23</w:t>
      </w:r>
      <w:r w:rsidR="00392FDE">
        <w:rPr>
          <w:rFonts w:ascii="Arial" w:hAnsi="Arial" w:cs="Arial"/>
        </w:rPr>
        <w:t>, 2010</w:t>
      </w:r>
      <w:r>
        <w:rPr>
          <w:rFonts w:ascii="Arial" w:hAnsi="Arial" w:cs="Arial"/>
        </w:rPr>
        <w:t xml:space="preserve"> </w:t>
      </w:r>
      <w:r w:rsidRPr="00A22C06">
        <w:rPr>
          <w:rFonts w:ascii="Arial" w:hAnsi="Arial" w:cs="Arial"/>
        </w:rPr>
        <w:t>by facsimile transmission or hand-delivery.</w:t>
      </w:r>
    </w:p>
    <w:p w:rsidR="00DC2646" w:rsidRPr="00A22C06" w:rsidRDefault="00DC2646" w:rsidP="00A22C06">
      <w:pPr>
        <w:pStyle w:val="BodyText"/>
        <w:tabs>
          <w:tab w:val="left" w:pos="5040"/>
        </w:tabs>
        <w:ind w:left="720"/>
        <w:rPr>
          <w:rFonts w:ascii="Arial" w:hAnsi="Arial" w:cs="Arial"/>
        </w:rPr>
      </w:pPr>
    </w:p>
    <w:p w:rsidR="00DC2646" w:rsidRPr="00A22C06" w:rsidRDefault="00DC2646" w:rsidP="00450FB4">
      <w:pPr>
        <w:pStyle w:val="BodyText"/>
        <w:tabs>
          <w:tab w:val="left" w:pos="4230"/>
        </w:tabs>
        <w:spacing w:after="0" w:line="240" w:lineRule="auto"/>
        <w:ind w:left="720" w:firstLine="3514"/>
        <w:rPr>
          <w:rFonts w:ascii="Arial" w:hAnsi="Arial" w:cs="Arial"/>
        </w:rPr>
      </w:pPr>
      <w:r w:rsidRPr="00A22C06">
        <w:rPr>
          <w:rFonts w:ascii="Arial" w:hAnsi="Arial" w:cs="Arial"/>
        </w:rPr>
        <w:tab/>
        <w:t>_____________________________</w:t>
      </w:r>
    </w:p>
    <w:p w:rsidR="00DC2646" w:rsidRPr="00A22C06" w:rsidRDefault="00DC2646" w:rsidP="00A22C06">
      <w:pPr>
        <w:pStyle w:val="BodyText2"/>
        <w:tabs>
          <w:tab w:val="left" w:pos="0"/>
        </w:tabs>
        <w:spacing w:line="24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450FB4">
        <w:rPr>
          <w:rFonts w:ascii="Arial" w:hAnsi="Arial" w:cs="Arial"/>
        </w:rPr>
        <w:t>Everett Britt</w:t>
      </w:r>
    </w:p>
    <w:p w:rsidR="00DC2646" w:rsidRPr="00A22C06" w:rsidRDefault="00DC2646" w:rsidP="00CD6329">
      <w:pPr>
        <w:pStyle w:val="BodyText2"/>
        <w:spacing w:after="0" w:line="240" w:lineRule="auto"/>
        <w:ind w:left="3600" w:firstLine="720"/>
        <w:jc w:val="both"/>
        <w:rPr>
          <w:rFonts w:ascii="Arial" w:hAnsi="Arial" w:cs="Arial"/>
        </w:rPr>
      </w:pPr>
    </w:p>
    <w:sectPr w:rsidR="00DC2646" w:rsidRPr="00A22C06" w:rsidSect="00B55CDB">
      <w:footerReference w:type="default" r:id="rId8"/>
      <w:pgSz w:w="12240" w:h="15840" w:code="1"/>
      <w:pgMar w:top="1440" w:right="1440" w:bottom="1440" w:left="1440" w:header="1440" w:footer="8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EE9" w:rsidRDefault="00370EE9">
      <w:r>
        <w:separator/>
      </w:r>
    </w:p>
  </w:endnote>
  <w:endnote w:type="continuationSeparator" w:id="0">
    <w:p w:rsidR="00370EE9" w:rsidRDefault="00370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E9" w:rsidRPr="00264607" w:rsidRDefault="00370EE9">
    <w:pPr>
      <w:pStyle w:val="Footer"/>
      <w:rPr>
        <w:smallCaps/>
        <w:sz w:val="22"/>
        <w:szCs w:val="22"/>
      </w:rPr>
    </w:pPr>
    <w:r>
      <w:rPr>
        <w:smallCaps/>
        <w:sz w:val="20"/>
        <w:szCs w:val="20"/>
      </w:rPr>
      <w:tab/>
    </w:r>
    <w:r w:rsidR="00D21767" w:rsidRPr="00264607">
      <w:rPr>
        <w:rStyle w:val="PageNumber"/>
        <w:smallCaps/>
        <w:sz w:val="22"/>
        <w:szCs w:val="22"/>
      </w:rPr>
      <w:fldChar w:fldCharType="begin"/>
    </w:r>
    <w:r w:rsidRPr="00264607">
      <w:rPr>
        <w:rStyle w:val="PageNumber"/>
        <w:smallCaps/>
        <w:sz w:val="22"/>
        <w:szCs w:val="22"/>
      </w:rPr>
      <w:instrText xml:space="preserve"> PAGE </w:instrText>
    </w:r>
    <w:r w:rsidR="00D21767" w:rsidRPr="00264607">
      <w:rPr>
        <w:rStyle w:val="PageNumber"/>
        <w:smallCaps/>
        <w:sz w:val="22"/>
        <w:szCs w:val="22"/>
      </w:rPr>
      <w:fldChar w:fldCharType="separate"/>
    </w:r>
    <w:r w:rsidR="00DC1155">
      <w:rPr>
        <w:rStyle w:val="PageNumber"/>
        <w:smallCaps/>
        <w:noProof/>
        <w:sz w:val="22"/>
        <w:szCs w:val="22"/>
      </w:rPr>
      <w:t>8</w:t>
    </w:r>
    <w:r w:rsidR="00D21767" w:rsidRPr="00264607">
      <w:rPr>
        <w:rStyle w:val="PageNumber"/>
        <w:smallCaps/>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EE9" w:rsidRDefault="00370EE9">
      <w:r>
        <w:separator/>
      </w:r>
    </w:p>
  </w:footnote>
  <w:footnote w:type="continuationSeparator" w:id="0">
    <w:p w:rsidR="00370EE9" w:rsidRDefault="00370EE9">
      <w:r>
        <w:continuationSeparator/>
      </w:r>
    </w:p>
  </w:footnote>
  <w:footnote w:id="1">
    <w:p w:rsidR="00370EE9" w:rsidRDefault="00370EE9" w:rsidP="00C263CD">
      <w:pPr>
        <w:pStyle w:val="FootnoteText"/>
      </w:pPr>
      <w:r>
        <w:rPr>
          <w:rStyle w:val="FootnoteReference"/>
        </w:rPr>
        <w:footnoteRef/>
      </w:r>
      <w:r>
        <w:t xml:space="preserve"> </w:t>
      </w:r>
      <w:r w:rsidRPr="00D957A3">
        <w:t>See</w:t>
      </w:r>
      <w:r>
        <w:t xml:space="preserve"> </w:t>
      </w:r>
      <w:r w:rsidRPr="007E79EF">
        <w:rPr>
          <w:i/>
        </w:rPr>
        <w:t xml:space="preserve">Application of Entergy Texas, Inc. for Determination of 2008 System Restoration Costs, </w:t>
      </w:r>
      <w:r w:rsidRPr="006B29B8">
        <w:t>Docket No. 36931,</w:t>
      </w:r>
      <w:r>
        <w:t xml:space="preserve"> </w:t>
      </w:r>
      <w:r w:rsidRPr="00B42526">
        <w:t>Order on Appeal of Order No. 8 (Ju</w:t>
      </w:r>
      <w:r>
        <w:t>n.</w:t>
      </w:r>
      <w:r w:rsidRPr="00B42526">
        <w:t xml:space="preserve"> 26, 2009).</w:t>
      </w:r>
      <w:r>
        <w:t xml:space="preserve">  </w:t>
      </w:r>
    </w:p>
  </w:footnote>
  <w:footnote w:id="2">
    <w:p w:rsidR="00370EE9" w:rsidRDefault="00370EE9" w:rsidP="00C263CD">
      <w:pPr>
        <w:pStyle w:val="FootnoteText"/>
      </w:pPr>
      <w:r>
        <w:rPr>
          <w:rStyle w:val="FootnoteReference"/>
        </w:rPr>
        <w:footnoteRef/>
      </w:r>
      <w:r>
        <w:t xml:space="preserve"> P.U.C. P</w:t>
      </w:r>
      <w:r>
        <w:rPr>
          <w:smallCaps/>
        </w:rPr>
        <w:t>roc</w:t>
      </w:r>
      <w:r>
        <w:t>. R. 22.103(b).</w:t>
      </w:r>
    </w:p>
  </w:footnote>
  <w:footnote w:id="3">
    <w:p w:rsidR="00370EE9" w:rsidRDefault="00370EE9" w:rsidP="00C263CD">
      <w:pPr>
        <w:pStyle w:val="FootnoteText"/>
      </w:pPr>
      <w:r>
        <w:rPr>
          <w:rStyle w:val="FootnoteReference"/>
        </w:rPr>
        <w:footnoteRef/>
      </w:r>
      <w:r>
        <w:t xml:space="preserve"> Cottonwood Appeal at 6 (Feb. 16, 2010).</w:t>
      </w:r>
    </w:p>
  </w:footnote>
  <w:footnote w:id="4">
    <w:p w:rsidR="00370EE9" w:rsidRDefault="00370EE9" w:rsidP="00C263CD">
      <w:pPr>
        <w:pStyle w:val="FootnoteText"/>
      </w:pPr>
      <w:r>
        <w:rPr>
          <w:rStyle w:val="FootnoteReference"/>
        </w:rPr>
        <w:footnoteRef/>
      </w:r>
      <w:r>
        <w:t xml:space="preserve"> Cottonwood Appeal at 8.</w:t>
      </w:r>
    </w:p>
  </w:footnote>
  <w:footnote w:id="5">
    <w:p w:rsidR="00370EE9" w:rsidRPr="000D2A44" w:rsidRDefault="00370EE9" w:rsidP="00C263CD">
      <w:pPr>
        <w:pStyle w:val="FootnoteText"/>
      </w:pPr>
      <w:r w:rsidRPr="000D2A44">
        <w:rPr>
          <w:rStyle w:val="FootnoteReference"/>
        </w:rPr>
        <w:footnoteRef/>
      </w:r>
      <w:r w:rsidRPr="000D2A44">
        <w:t xml:space="preserve"> </w:t>
      </w:r>
      <w:r w:rsidRPr="007E79EF">
        <w:rPr>
          <w:i/>
        </w:rPr>
        <w:t xml:space="preserve">Application of </w:t>
      </w:r>
      <w:smartTag w:uri="urn:schemas-microsoft-com:office:smarttags" w:element="stockticker">
        <w:r w:rsidRPr="007E79EF">
          <w:rPr>
            <w:i/>
          </w:rPr>
          <w:t>AEP</w:t>
        </w:r>
      </w:smartTag>
      <w:r w:rsidRPr="007E79EF">
        <w:rPr>
          <w:i/>
        </w:rPr>
        <w:t xml:space="preserve"> Texas Central Company to Amend a Certificate of Convenience and Necessity for a 345-kV Double Circuit Transmission Line in Kenedy County, Texas</w:t>
      </w:r>
      <w:r w:rsidRPr="000D2A44">
        <w:t xml:space="preserve">, Docket No. 34298, Order Denying Appeal of Order No. 5 at </w:t>
      </w:r>
      <w:r w:rsidRPr="00567ED3">
        <w:t xml:space="preserve">3 (Oct. 29, 2009).  </w:t>
      </w:r>
      <w:r w:rsidRPr="007E79EF">
        <w:rPr>
          <w:i/>
        </w:rPr>
        <w:t xml:space="preserve">See </w:t>
      </w:r>
      <w:r w:rsidRPr="001403CF">
        <w:rPr>
          <w:rStyle w:val="groupheading5"/>
          <w:rFonts w:ascii="Arial" w:hAnsi="Arial"/>
          <w:b w:val="0"/>
          <w:bCs w:val="0"/>
          <w:i/>
          <w:color w:val="000000"/>
          <w:sz w:val="20"/>
          <w:szCs w:val="20"/>
        </w:rPr>
        <w:t>Coastal Habitat Alliance v. Public Utility Comm'n of Texas</w:t>
      </w:r>
      <w:r w:rsidRPr="00567ED3">
        <w:rPr>
          <w:rStyle w:val="groupheading5"/>
          <w:rFonts w:ascii="Arial" w:hAnsi="Arial"/>
          <w:b w:val="0"/>
          <w:bCs w:val="0"/>
          <w:color w:val="000000"/>
          <w:sz w:val="20"/>
          <w:szCs w:val="20"/>
        </w:rPr>
        <w:t>, 294 S.W.3d 276 (Tex. App. — Austin 2009, no pet.) (affirming Commission denial of motion to intervene).</w:t>
      </w:r>
      <w:r>
        <w:rPr>
          <w:rStyle w:val="groupheading5"/>
          <w:b w:val="0"/>
          <w:bCs w:val="0"/>
          <w:color w:val="000000"/>
        </w:rPr>
        <w:t xml:space="preserve"> </w:t>
      </w:r>
    </w:p>
  </w:footnote>
  <w:footnote w:id="6">
    <w:p w:rsidR="00370EE9" w:rsidRDefault="00370EE9" w:rsidP="00C263CD">
      <w:pPr>
        <w:pStyle w:val="FootnoteText"/>
      </w:pPr>
      <w:r w:rsidRPr="000D2A44">
        <w:rPr>
          <w:rStyle w:val="FootnoteReference"/>
        </w:rPr>
        <w:footnoteRef/>
      </w:r>
      <w:r w:rsidRPr="000D2A44">
        <w:t xml:space="preserve"> </w:t>
      </w:r>
      <w:r w:rsidRPr="000D2A44">
        <w:rPr>
          <w:i/>
          <w:iCs/>
        </w:rPr>
        <w:t>See</w:t>
      </w:r>
      <w:r w:rsidRPr="000D2A44">
        <w:t xml:space="preserve"> </w:t>
      </w:r>
      <w:r w:rsidRPr="000D2A44">
        <w:rPr>
          <w:i/>
          <w:iCs/>
        </w:rPr>
        <w:t>Cottonwood Energy Company, LP</w:t>
      </w:r>
      <w:r w:rsidRPr="000D2A44">
        <w:t>, Order Granting Petition for Declaratory</w:t>
      </w:r>
      <w:r w:rsidRPr="00900636">
        <w:t xml:space="preserve"> Order, 118 FERC ¶ 61,198 (2007).</w:t>
      </w:r>
    </w:p>
  </w:footnote>
  <w:footnote w:id="7">
    <w:p w:rsidR="00370EE9" w:rsidRDefault="00370EE9" w:rsidP="00C263CD">
      <w:pPr>
        <w:pStyle w:val="FootnoteText"/>
      </w:pPr>
      <w:r>
        <w:rPr>
          <w:rStyle w:val="FootnoteReference"/>
        </w:rPr>
        <w:footnoteRef/>
      </w:r>
      <w:r>
        <w:t xml:space="preserve"> Cottonwood Appeal at 5, 6, and 9.</w:t>
      </w:r>
    </w:p>
  </w:footnote>
  <w:footnote w:id="8">
    <w:p w:rsidR="00370EE9" w:rsidRDefault="00370EE9" w:rsidP="00C263CD">
      <w:pPr>
        <w:pStyle w:val="FootnoteText"/>
      </w:pPr>
      <w:r>
        <w:rPr>
          <w:rStyle w:val="FootnoteReference"/>
        </w:rPr>
        <w:footnoteRef/>
      </w:r>
      <w:r>
        <w:t xml:space="preserve"> Cottonwood Appeal at 4.</w:t>
      </w:r>
    </w:p>
  </w:footnote>
  <w:footnote w:id="9">
    <w:p w:rsidR="00370EE9" w:rsidRDefault="00370EE9" w:rsidP="00C263CD">
      <w:pPr>
        <w:pStyle w:val="FootnoteText"/>
      </w:pPr>
      <w:r>
        <w:rPr>
          <w:rStyle w:val="FootnoteReference"/>
        </w:rPr>
        <w:footnoteRef/>
      </w:r>
      <w:r>
        <w:t xml:space="preserve"> </w:t>
      </w:r>
      <w:r w:rsidRPr="00D34ED8">
        <w:rPr>
          <w:i/>
        </w:rPr>
        <w:t>See</w:t>
      </w:r>
      <w:r w:rsidRPr="00117797">
        <w:t xml:space="preserve"> </w:t>
      </w:r>
      <w:r w:rsidRPr="007E79EF">
        <w:rPr>
          <w:i/>
        </w:rPr>
        <w:t>Entergy Louisiana, Inc. v. Louisiana Public Service Comm’n</w:t>
      </w:r>
      <w:r>
        <w:t>, 539 U.S. 39 (2003)</w:t>
      </w:r>
      <w:r w:rsidR="006B29B8">
        <w:t>;</w:t>
      </w:r>
      <w:r>
        <w:t xml:space="preserve"> </w:t>
      </w:r>
      <w:r w:rsidRPr="007E79EF">
        <w:rPr>
          <w:i/>
        </w:rPr>
        <w:t>Mississippi Power &amp; Light Co. v. Mississippi ex rel Moore,</w:t>
      </w:r>
      <w:r>
        <w:t xml:space="preserve"> 487 U.S. 354 (1988); and </w:t>
      </w:r>
      <w:r w:rsidRPr="007E79EF">
        <w:rPr>
          <w:i/>
        </w:rPr>
        <w:t>Nantahala Power &amp; Light Co. v. Thornburg</w:t>
      </w:r>
      <w:r>
        <w:t>, 476 U.S. 953 (1986).</w:t>
      </w:r>
    </w:p>
  </w:footnote>
  <w:footnote w:id="10">
    <w:p w:rsidR="00370EE9" w:rsidRDefault="00370EE9" w:rsidP="00C263CD">
      <w:pPr>
        <w:pStyle w:val="FootnoteText"/>
      </w:pPr>
      <w:r>
        <w:rPr>
          <w:rStyle w:val="FootnoteReference"/>
        </w:rPr>
        <w:footnoteRef/>
      </w:r>
      <w:r>
        <w:t xml:space="preserve"> </w:t>
      </w:r>
      <w:r w:rsidRPr="000D2A44">
        <w:rPr>
          <w:i/>
          <w:iCs/>
        </w:rPr>
        <w:t>Railroad Comm</w:t>
      </w:r>
      <w:r>
        <w:rPr>
          <w:i/>
          <w:iCs/>
        </w:rPr>
        <w:t>’n of Texas</w:t>
      </w:r>
      <w:r w:rsidRPr="000D2A44">
        <w:rPr>
          <w:i/>
          <w:iCs/>
        </w:rPr>
        <w:t xml:space="preserve"> v. Ennis Transportation Co., </w:t>
      </w:r>
      <w:r w:rsidRPr="000D2A44">
        <w:rPr>
          <w:iCs/>
        </w:rPr>
        <w:t>695 S.W.2d 706</w:t>
      </w:r>
      <w:r w:rsidRPr="000D2A44">
        <w:t xml:space="preserve"> (Tex.</w:t>
      </w:r>
      <w:r>
        <w:t xml:space="preserve"> </w:t>
      </w:r>
      <w:r w:rsidRPr="000D2A44">
        <w:t>App.—</w:t>
      </w:r>
      <w:r w:rsidR="006B29B8">
        <w:t xml:space="preserve"> </w:t>
      </w:r>
      <w:r w:rsidRPr="000D2A44">
        <w:t xml:space="preserve">Austin 1985, writ ref'd n.r.e.) (holding that potentially affected contract carriers were not entitled to participate in </w:t>
      </w:r>
      <w:r>
        <w:t xml:space="preserve">the </w:t>
      </w:r>
      <w:r w:rsidRPr="000D2A44">
        <w:t>proceeding to protest applications for common carrier or contract carrier authority).</w:t>
      </w:r>
    </w:p>
  </w:footnote>
  <w:footnote w:id="11">
    <w:p w:rsidR="00370EE9" w:rsidRPr="00900636" w:rsidRDefault="00370EE9" w:rsidP="00C263CD">
      <w:pPr>
        <w:pStyle w:val="FootnoteText"/>
      </w:pPr>
      <w:r w:rsidRPr="00900636">
        <w:rPr>
          <w:rStyle w:val="FootnoteReference"/>
        </w:rPr>
        <w:footnoteRef/>
      </w:r>
      <w:r w:rsidRPr="00900636">
        <w:t xml:space="preserve"> Docket No. 34298, Order Denying Appeal of Order</w:t>
      </w:r>
      <w:r>
        <w:t xml:space="preserve"> No. 5 at 2-3 (Oct. 29, 2007).  </w:t>
      </w:r>
    </w:p>
  </w:footnote>
  <w:footnote w:id="12">
    <w:p w:rsidR="00370EE9" w:rsidRPr="00197053" w:rsidRDefault="00370EE9" w:rsidP="00C263CD">
      <w:pPr>
        <w:pStyle w:val="FootnoteText"/>
      </w:pPr>
      <w:r>
        <w:rPr>
          <w:rStyle w:val="FootnoteReference"/>
        </w:rPr>
        <w:footnoteRef/>
      </w:r>
      <w:r>
        <w:t xml:space="preserve"> </w:t>
      </w:r>
      <w:r>
        <w:rPr>
          <w:i/>
        </w:rPr>
        <w:t>Hunt v. Bass</w:t>
      </w:r>
      <w:r>
        <w:t xml:space="preserve">, 664 S.W.2d 323, 324 (Tex. 1984); </w:t>
      </w:r>
      <w:r>
        <w:rPr>
          <w:i/>
        </w:rPr>
        <w:t xml:space="preserve">Housing Authority of the City of </w:t>
      </w:r>
      <w:r w:rsidRPr="005E76FC">
        <w:rPr>
          <w:i/>
        </w:rPr>
        <w:t>Harlingen v. State ex rel. Velasquez</w:t>
      </w:r>
      <w:r>
        <w:t xml:space="preserve">, 539 S.W.2d 911, 913 (Tex. Civ. App. </w:t>
      </w:r>
      <w:r w:rsidRPr="00E473E2">
        <w:t>—</w:t>
      </w:r>
      <w:r>
        <w:t xml:space="preserve"> Corpus Christi </w:t>
      </w:r>
      <w:r w:rsidRPr="00197053">
        <w:t>1976, writ ref’d n.r.e.).</w:t>
      </w:r>
    </w:p>
  </w:footnote>
  <w:footnote w:id="13">
    <w:p w:rsidR="00370EE9" w:rsidRDefault="00370EE9" w:rsidP="00C263CD">
      <w:pPr>
        <w:pStyle w:val="FootnoteText"/>
      </w:pPr>
      <w:r>
        <w:rPr>
          <w:rStyle w:val="FootnoteReference"/>
        </w:rPr>
        <w:footnoteRef/>
      </w:r>
      <w:r>
        <w:t xml:space="preserve"> Docket No. 36931, </w:t>
      </w:r>
      <w:r w:rsidRPr="00B42526">
        <w:t>Order on Appeal of Order No. 8 (Ju</w:t>
      </w:r>
      <w:r>
        <w:t>n.</w:t>
      </w:r>
      <w:r w:rsidRPr="00B42526">
        <w:t xml:space="preserve"> 26, 2009).</w:t>
      </w:r>
      <w:r>
        <w:t xml:space="preserve">  </w:t>
      </w:r>
    </w:p>
  </w:footnote>
  <w:footnote w:id="14">
    <w:p w:rsidR="00370EE9" w:rsidRDefault="00370EE9" w:rsidP="00C263CD">
      <w:pPr>
        <w:pStyle w:val="FootnoteText"/>
      </w:pPr>
      <w:r>
        <w:rPr>
          <w:rStyle w:val="FootnoteReference"/>
        </w:rPr>
        <w:footnoteRef/>
      </w:r>
      <w:r>
        <w:t xml:space="preserve"> </w:t>
      </w:r>
      <w:r w:rsidRPr="007E79EF">
        <w:rPr>
          <w:i/>
        </w:rPr>
        <w:t>Application of Entergy Gulf States, Inc. to Submit Revised Fixed-Fuel Factor (Schedule FF) and Supporting Attachments in Compliance with the Commission’s Order Issued on June 29, 1999, in Docket No. 20150</w:t>
      </w:r>
      <w:r>
        <w:t>, Docket No. 23714, Motion to Intervene of Brazos Electric Power Cooperative, Inc. (Mar. 29, 2001).</w:t>
      </w:r>
    </w:p>
  </w:footnote>
  <w:footnote w:id="15">
    <w:p w:rsidR="00370EE9" w:rsidRDefault="00370EE9" w:rsidP="00C263CD">
      <w:pPr>
        <w:pStyle w:val="FootnoteText"/>
      </w:pPr>
      <w:r>
        <w:rPr>
          <w:rStyle w:val="FootnoteReference"/>
        </w:rPr>
        <w:footnoteRef/>
      </w:r>
      <w:r>
        <w:t xml:space="preserve"> Docket No. 23714, Entergy Gulf States, Inc.’s Objection to Motion to Intervene of Brazos Electric Power Cooperative, Inc. (Apr. 3, 2001).</w:t>
      </w:r>
    </w:p>
  </w:footnote>
  <w:footnote w:id="16">
    <w:p w:rsidR="00370EE9" w:rsidRDefault="00370EE9" w:rsidP="00C263CD">
      <w:pPr>
        <w:pStyle w:val="FootnoteText"/>
      </w:pPr>
      <w:r>
        <w:rPr>
          <w:rStyle w:val="FootnoteReference"/>
        </w:rPr>
        <w:footnoteRef/>
      </w:r>
      <w:r>
        <w:t xml:space="preserve"> Docket No. 23714, Order No. 2: Denying Brazos Electric Power Cooperative, Inc.’s Motion to Intervene (Apr. 18, 2001).</w:t>
      </w:r>
    </w:p>
  </w:footnote>
  <w:footnote w:id="17">
    <w:p w:rsidR="00370EE9" w:rsidRDefault="00370EE9" w:rsidP="00C263CD">
      <w:pPr>
        <w:pStyle w:val="FootnoteText"/>
      </w:pPr>
      <w:r>
        <w:rPr>
          <w:rStyle w:val="FootnoteReference"/>
        </w:rPr>
        <w:footnoteRef/>
      </w:r>
      <w:r>
        <w:t xml:space="preserve"> </w:t>
      </w:r>
      <w:r w:rsidRPr="007E79EF">
        <w:rPr>
          <w:i/>
        </w:rPr>
        <w:t>Application of Entergy Gulf States, Inc. for Authority to Change Rates and to Reconcile Fuel Costs</w:t>
      </w:r>
      <w:r w:rsidRPr="001C7B26">
        <w:t>,</w:t>
      </w:r>
      <w:r>
        <w:t xml:space="preserve"> Docket No. 34800, East Texas Cooperatives’ Motion to Intervene (Nov. 7, 2007).</w:t>
      </w:r>
    </w:p>
  </w:footnote>
  <w:footnote w:id="18">
    <w:p w:rsidR="00370EE9" w:rsidRPr="0091769E" w:rsidRDefault="00370EE9">
      <w:pPr>
        <w:pStyle w:val="FootnoteText"/>
      </w:pPr>
      <w:r>
        <w:rPr>
          <w:rStyle w:val="FootnoteReference"/>
        </w:rPr>
        <w:footnoteRef/>
      </w:r>
      <w:r>
        <w:t xml:space="preserve"> </w:t>
      </w:r>
      <w:r w:rsidR="007E79EF">
        <w:t xml:space="preserve">Docket No. 34800, </w:t>
      </w:r>
      <w:r>
        <w:t>Application at 5-6</w:t>
      </w:r>
      <w:r w:rsidR="007E79EF">
        <w:t xml:space="preserve"> (Sept. 26, 2007)</w:t>
      </w:r>
      <w:r>
        <w:t>.</w:t>
      </w:r>
    </w:p>
  </w:footnote>
  <w:footnote w:id="19">
    <w:p w:rsidR="00370EE9" w:rsidRDefault="00370EE9" w:rsidP="00C263CD">
      <w:pPr>
        <w:pStyle w:val="FootnoteText"/>
      </w:pPr>
      <w:r>
        <w:rPr>
          <w:rStyle w:val="FootnoteReference"/>
        </w:rPr>
        <w:footnoteRef/>
      </w:r>
      <w:r>
        <w:t xml:space="preserve"> Docket No. 34800, Entergy Gulf States, Inc.’s Objection to East Texas Cooperatives’ Motion to Intervene (Nov. 14, 2007).</w:t>
      </w:r>
    </w:p>
  </w:footnote>
  <w:footnote w:id="20">
    <w:p w:rsidR="00370EE9" w:rsidRDefault="00370EE9" w:rsidP="00C263CD">
      <w:pPr>
        <w:pStyle w:val="FootnoteText"/>
      </w:pPr>
      <w:r>
        <w:rPr>
          <w:rStyle w:val="FootnoteReference"/>
        </w:rPr>
        <w:footnoteRef/>
      </w:r>
      <w:r>
        <w:t xml:space="preserve"> Docket No. 34800, Order No. 11 Regarding East Texas Cooperatives’ Motion to Intervene (Nov. 19, 2007).</w:t>
      </w:r>
    </w:p>
  </w:footnote>
  <w:footnote w:id="21">
    <w:p w:rsidR="00370EE9" w:rsidRDefault="00370EE9" w:rsidP="00C263CD">
      <w:pPr>
        <w:pStyle w:val="FootnoteText"/>
      </w:pPr>
      <w:r>
        <w:rPr>
          <w:rStyle w:val="FootnoteReference"/>
        </w:rPr>
        <w:footnoteRef/>
      </w:r>
      <w:r>
        <w:t xml:space="preserve"> Docket No. 25802, Order at 3 (Aug. 26, 2002).</w:t>
      </w:r>
    </w:p>
  </w:footnote>
  <w:footnote w:id="22">
    <w:p w:rsidR="00370EE9" w:rsidRDefault="00370EE9" w:rsidP="00C263CD">
      <w:pPr>
        <w:pStyle w:val="FootnoteText"/>
      </w:pPr>
      <w:r>
        <w:rPr>
          <w:rStyle w:val="FootnoteReference"/>
        </w:rPr>
        <w:footnoteRef/>
      </w:r>
      <w:r>
        <w:t xml:space="preserve"> </w:t>
      </w:r>
      <w:r w:rsidRPr="0027338D">
        <w:rPr>
          <w:i/>
        </w:rPr>
        <w:t>See</w:t>
      </w:r>
      <w:r>
        <w:t xml:space="preserve"> Docket No. 25802, Order No. 5 at 1-2 (May 6, 2002).</w:t>
      </w:r>
    </w:p>
  </w:footnote>
  <w:footnote w:id="23">
    <w:p w:rsidR="00370EE9" w:rsidRPr="00432872" w:rsidRDefault="00370EE9" w:rsidP="00C263CD">
      <w:pPr>
        <w:pStyle w:val="FootnoteText"/>
      </w:pPr>
      <w:r>
        <w:rPr>
          <w:rStyle w:val="FootnoteReference"/>
        </w:rPr>
        <w:footnoteRef/>
      </w:r>
      <w:r>
        <w:t xml:space="preserve"> </w:t>
      </w:r>
      <w:r>
        <w:rPr>
          <w:i/>
        </w:rPr>
        <w:t>Id.</w:t>
      </w:r>
      <w:r>
        <w:t xml:space="preserve"> at 2-3.</w:t>
      </w:r>
    </w:p>
  </w:footnote>
  <w:footnote w:id="24">
    <w:p w:rsidR="00370EE9" w:rsidRDefault="00370EE9" w:rsidP="00C263CD">
      <w:pPr>
        <w:pStyle w:val="FootnoteText"/>
      </w:pPr>
      <w:r>
        <w:rPr>
          <w:rStyle w:val="FootnoteReference"/>
        </w:rPr>
        <w:footnoteRef/>
      </w:r>
      <w:r>
        <w:t xml:space="preserve"> P.U.C. </w:t>
      </w:r>
      <w:r w:rsidRPr="00640D7B">
        <w:rPr>
          <w:smallCaps/>
        </w:rPr>
        <w:t>Proc</w:t>
      </w:r>
      <w:r>
        <w:t>. R.</w:t>
      </w:r>
      <w:r>
        <w:rPr>
          <w:color w:val="000000"/>
        </w:rPr>
        <w:t xml:space="preserve"> 22.202(c).</w:t>
      </w:r>
    </w:p>
  </w:footnote>
  <w:footnote w:id="25">
    <w:p w:rsidR="00370EE9" w:rsidRDefault="00370EE9" w:rsidP="00C263CD">
      <w:pPr>
        <w:pStyle w:val="FootnoteText"/>
      </w:pPr>
      <w:r>
        <w:rPr>
          <w:rStyle w:val="FootnoteReference"/>
        </w:rPr>
        <w:footnoteRef/>
      </w:r>
      <w:r>
        <w:t xml:space="preserve"> </w:t>
      </w:r>
      <w:r w:rsidRPr="00C77BB9">
        <w:rPr>
          <w:i/>
        </w:rPr>
        <w:t>Application of Mid-State Telephone Co</w:t>
      </w:r>
      <w:r w:rsidRPr="00197053">
        <w:rPr>
          <w:i/>
        </w:rPr>
        <w:t>. for a Rate Increase</w:t>
      </w:r>
      <w:r>
        <w:t>, Docket No. 2323, 4 Tex. P.U.C. Bull. 1898, 1899 (1979).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36E"/>
    <w:multiLevelType w:val="singleLevel"/>
    <w:tmpl w:val="04090015"/>
    <w:lvl w:ilvl="0">
      <w:start w:val="17"/>
      <w:numFmt w:val="upperLetter"/>
      <w:lvlText w:val="%1."/>
      <w:lvlJc w:val="left"/>
      <w:pPr>
        <w:tabs>
          <w:tab w:val="num" w:pos="360"/>
        </w:tabs>
        <w:ind w:left="360" w:hanging="360"/>
      </w:pPr>
      <w:rPr>
        <w:rFonts w:hint="default"/>
      </w:rPr>
    </w:lvl>
  </w:abstractNum>
  <w:abstractNum w:abstractNumId="1">
    <w:nsid w:val="06DC66C4"/>
    <w:multiLevelType w:val="singleLevel"/>
    <w:tmpl w:val="877C1DA0"/>
    <w:lvl w:ilvl="0">
      <w:start w:val="9"/>
      <w:numFmt w:val="upperRoman"/>
      <w:lvlText w:val="%1."/>
      <w:lvlJc w:val="left"/>
      <w:pPr>
        <w:tabs>
          <w:tab w:val="num" w:pos="720"/>
        </w:tabs>
        <w:ind w:left="720" w:hanging="720"/>
      </w:pPr>
      <w:rPr>
        <w:rFonts w:hint="default"/>
        <w:b/>
        <w:bCs/>
      </w:rPr>
    </w:lvl>
  </w:abstractNum>
  <w:abstractNum w:abstractNumId="2">
    <w:nsid w:val="073C3471"/>
    <w:multiLevelType w:val="multilevel"/>
    <w:tmpl w:val="0A664AC8"/>
    <w:lvl w:ilvl="0">
      <w:start w:val="1"/>
      <w:numFmt w:val="upperRoman"/>
      <w:lvlText w:val="%1."/>
      <w:lvlJc w:val="left"/>
      <w:pPr>
        <w:tabs>
          <w:tab w:val="num" w:pos="720"/>
        </w:tabs>
      </w:pPr>
      <w:rPr>
        <w:rFonts w:hint="default"/>
      </w:rPr>
    </w:lvl>
    <w:lvl w:ilvl="1">
      <w:start w:val="1"/>
      <w:numFmt w:val="upperLetter"/>
      <w:pStyle w:val="Level2"/>
      <w:lvlText w:val="%2."/>
      <w:lvlJc w:val="left"/>
      <w:pPr>
        <w:tabs>
          <w:tab w:val="num" w:pos="1080"/>
        </w:tabs>
        <w:ind w:left="720"/>
      </w:pPr>
      <w:rPr>
        <w:rFonts w:hint="default"/>
      </w:rPr>
    </w:lvl>
    <w:lvl w:ilvl="2">
      <w:start w:val="1"/>
      <w:numFmt w:val="decimal"/>
      <w:pStyle w:val="Level3"/>
      <w:lvlText w:val="%3."/>
      <w:lvlJc w:val="left"/>
      <w:pPr>
        <w:tabs>
          <w:tab w:val="num" w:pos="1800"/>
        </w:tabs>
        <w:ind w:left="1440"/>
      </w:pPr>
      <w:rPr>
        <w:rFonts w:hint="default"/>
      </w:rPr>
    </w:lvl>
    <w:lvl w:ilvl="3">
      <w:start w:val="1"/>
      <w:numFmt w:val="lowerLetter"/>
      <w:pStyle w:val="Level4"/>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3">
    <w:nsid w:val="0B27061D"/>
    <w:multiLevelType w:val="singleLevel"/>
    <w:tmpl w:val="04090013"/>
    <w:lvl w:ilvl="0">
      <w:start w:val="1"/>
      <w:numFmt w:val="upperRoman"/>
      <w:lvlText w:val="%1."/>
      <w:lvlJc w:val="left"/>
      <w:pPr>
        <w:tabs>
          <w:tab w:val="num" w:pos="720"/>
        </w:tabs>
        <w:ind w:left="720" w:hanging="720"/>
      </w:pPr>
      <w:rPr>
        <w:rFonts w:hint="default"/>
      </w:rPr>
    </w:lvl>
  </w:abstractNum>
  <w:abstractNum w:abstractNumId="4">
    <w:nsid w:val="0D800AB1"/>
    <w:multiLevelType w:val="singleLevel"/>
    <w:tmpl w:val="D12068A8"/>
    <w:lvl w:ilvl="0">
      <w:start w:val="1"/>
      <w:numFmt w:val="lowerLetter"/>
      <w:lvlText w:val="(%1)"/>
      <w:lvlJc w:val="left"/>
      <w:pPr>
        <w:tabs>
          <w:tab w:val="num" w:pos="2160"/>
        </w:tabs>
        <w:ind w:left="2160" w:hanging="720"/>
      </w:pPr>
      <w:rPr>
        <w:rFonts w:hint="default"/>
      </w:rPr>
    </w:lvl>
  </w:abstractNum>
  <w:abstractNum w:abstractNumId="5">
    <w:nsid w:val="0DED601F"/>
    <w:multiLevelType w:val="singleLevel"/>
    <w:tmpl w:val="4DC03ACE"/>
    <w:lvl w:ilvl="0">
      <w:start w:val="4"/>
      <w:numFmt w:val="decimal"/>
      <w:lvlText w:val="%1."/>
      <w:lvlJc w:val="left"/>
      <w:pPr>
        <w:tabs>
          <w:tab w:val="num" w:pos="1440"/>
        </w:tabs>
        <w:ind w:left="1440" w:hanging="720"/>
      </w:pPr>
      <w:rPr>
        <w:rFonts w:hint="default"/>
      </w:rPr>
    </w:lvl>
  </w:abstractNum>
  <w:abstractNum w:abstractNumId="6">
    <w:nsid w:val="0E306D21"/>
    <w:multiLevelType w:val="hybridMultilevel"/>
    <w:tmpl w:val="D9AAE0A8"/>
    <w:lvl w:ilvl="0" w:tplc="BDA028FC">
      <w:start w:val="28"/>
      <w:numFmt w:val="decimal"/>
      <w:lvlText w:val="%1."/>
      <w:lvlJc w:val="left"/>
      <w:pPr>
        <w:tabs>
          <w:tab w:val="num" w:pos="1080"/>
        </w:tabs>
        <w:ind w:left="1080" w:hanging="360"/>
      </w:pPr>
      <w:rPr>
        <w:rFonts w:hint="default"/>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0FA7D64"/>
    <w:multiLevelType w:val="singleLevel"/>
    <w:tmpl w:val="0409000F"/>
    <w:lvl w:ilvl="0">
      <w:start w:val="3"/>
      <w:numFmt w:val="decimal"/>
      <w:lvlText w:val="%1."/>
      <w:lvlJc w:val="left"/>
      <w:pPr>
        <w:tabs>
          <w:tab w:val="num" w:pos="360"/>
        </w:tabs>
        <w:ind w:left="360" w:hanging="360"/>
      </w:pPr>
      <w:rPr>
        <w:rFonts w:hint="default"/>
      </w:rPr>
    </w:lvl>
  </w:abstractNum>
  <w:abstractNum w:abstractNumId="8">
    <w:nsid w:val="196D1D6F"/>
    <w:multiLevelType w:val="singleLevel"/>
    <w:tmpl w:val="4DC03ACE"/>
    <w:lvl w:ilvl="0">
      <w:start w:val="7"/>
      <w:numFmt w:val="decimal"/>
      <w:lvlText w:val="%1."/>
      <w:lvlJc w:val="left"/>
      <w:pPr>
        <w:tabs>
          <w:tab w:val="num" w:pos="1440"/>
        </w:tabs>
        <w:ind w:left="1440" w:hanging="720"/>
      </w:pPr>
      <w:rPr>
        <w:rFonts w:hint="default"/>
      </w:rPr>
    </w:lvl>
  </w:abstractNum>
  <w:abstractNum w:abstractNumId="9">
    <w:nsid w:val="1A8F16CB"/>
    <w:multiLevelType w:val="singleLevel"/>
    <w:tmpl w:val="CC00A284"/>
    <w:lvl w:ilvl="0">
      <w:start w:val="1"/>
      <w:numFmt w:val="decimal"/>
      <w:pStyle w:val="Style1"/>
      <w:lvlText w:val="%1."/>
      <w:lvlJc w:val="left"/>
      <w:pPr>
        <w:tabs>
          <w:tab w:val="num" w:pos="360"/>
        </w:tabs>
        <w:ind w:left="360" w:hanging="360"/>
      </w:pPr>
    </w:lvl>
  </w:abstractNum>
  <w:abstractNum w:abstractNumId="10">
    <w:nsid w:val="1AAD12B1"/>
    <w:multiLevelType w:val="singleLevel"/>
    <w:tmpl w:val="6B4CA936"/>
    <w:lvl w:ilvl="0">
      <w:start w:val="1"/>
      <w:numFmt w:val="lowerLetter"/>
      <w:lvlText w:val="(%1)"/>
      <w:lvlJc w:val="left"/>
      <w:pPr>
        <w:tabs>
          <w:tab w:val="num" w:pos="2160"/>
        </w:tabs>
        <w:ind w:left="2160" w:hanging="1035"/>
      </w:pPr>
      <w:rPr>
        <w:rFonts w:hint="default"/>
      </w:rPr>
    </w:lvl>
  </w:abstractNum>
  <w:abstractNum w:abstractNumId="11">
    <w:nsid w:val="1BE004F6"/>
    <w:multiLevelType w:val="hybridMultilevel"/>
    <w:tmpl w:val="2810615C"/>
    <w:lvl w:ilvl="0" w:tplc="5A6C6FDA">
      <w:start w:val="1"/>
      <w:numFmt w:val="bullet"/>
      <w:lvlText w:val=""/>
      <w:lvlJc w:val="left"/>
      <w:pPr>
        <w:tabs>
          <w:tab w:val="num" w:pos="1440"/>
        </w:tabs>
        <w:ind w:left="1440" w:hanging="360"/>
      </w:pPr>
      <w:rPr>
        <w:rFonts w:ascii="Symbol" w:hAnsi="Symbol" w:cs="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2">
    <w:nsid w:val="1C59261A"/>
    <w:multiLevelType w:val="singleLevel"/>
    <w:tmpl w:val="262E3210"/>
    <w:lvl w:ilvl="0">
      <w:start w:val="2"/>
      <w:numFmt w:val="decimal"/>
      <w:lvlText w:val="%1."/>
      <w:lvlJc w:val="left"/>
      <w:pPr>
        <w:tabs>
          <w:tab w:val="num" w:pos="360"/>
        </w:tabs>
        <w:ind w:left="360" w:hanging="360"/>
      </w:pPr>
      <w:rPr>
        <w:rFonts w:hint="default"/>
      </w:rPr>
    </w:lvl>
  </w:abstractNum>
  <w:abstractNum w:abstractNumId="13">
    <w:nsid w:val="1D3705E0"/>
    <w:multiLevelType w:val="singleLevel"/>
    <w:tmpl w:val="4DC03ACE"/>
    <w:lvl w:ilvl="0">
      <w:start w:val="7"/>
      <w:numFmt w:val="decimal"/>
      <w:lvlText w:val="%1."/>
      <w:lvlJc w:val="left"/>
      <w:pPr>
        <w:tabs>
          <w:tab w:val="num" w:pos="1440"/>
        </w:tabs>
        <w:ind w:left="1440" w:hanging="720"/>
      </w:pPr>
      <w:rPr>
        <w:rFonts w:hint="default"/>
      </w:rPr>
    </w:lvl>
  </w:abstractNum>
  <w:abstractNum w:abstractNumId="14">
    <w:nsid w:val="202A2D1F"/>
    <w:multiLevelType w:val="hybridMultilevel"/>
    <w:tmpl w:val="A412B29A"/>
    <w:lvl w:ilvl="0" w:tplc="F5E03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4360B6"/>
    <w:multiLevelType w:val="singleLevel"/>
    <w:tmpl w:val="ED14C33A"/>
    <w:lvl w:ilvl="0">
      <w:start w:val="1"/>
      <w:numFmt w:val="upperLetter"/>
      <w:lvlText w:val="%1."/>
      <w:lvlJc w:val="left"/>
      <w:pPr>
        <w:tabs>
          <w:tab w:val="num" w:pos="1440"/>
        </w:tabs>
        <w:ind w:left="1440" w:hanging="720"/>
      </w:pPr>
      <w:rPr>
        <w:rFonts w:hint="default"/>
        <w:b/>
        <w:bCs/>
      </w:rPr>
    </w:lvl>
  </w:abstractNum>
  <w:abstractNum w:abstractNumId="16">
    <w:nsid w:val="327B51C8"/>
    <w:multiLevelType w:val="hybridMultilevel"/>
    <w:tmpl w:val="D6AAEF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D074AA"/>
    <w:multiLevelType w:val="singleLevel"/>
    <w:tmpl w:val="BC581464"/>
    <w:lvl w:ilvl="0">
      <w:start w:val="3"/>
      <w:numFmt w:val="upperLetter"/>
      <w:lvlText w:val="%1."/>
      <w:lvlJc w:val="left"/>
      <w:pPr>
        <w:tabs>
          <w:tab w:val="num" w:pos="1080"/>
        </w:tabs>
        <w:ind w:left="1080" w:hanging="360"/>
      </w:pPr>
      <w:rPr>
        <w:rFonts w:hint="default"/>
        <w:b/>
        <w:bCs/>
      </w:rPr>
    </w:lvl>
  </w:abstractNum>
  <w:abstractNum w:abstractNumId="18">
    <w:nsid w:val="34E03D8A"/>
    <w:multiLevelType w:val="singleLevel"/>
    <w:tmpl w:val="2C3A37AA"/>
    <w:lvl w:ilvl="0">
      <w:start w:val="1"/>
      <w:numFmt w:val="lowerLetter"/>
      <w:lvlText w:val="(%1)"/>
      <w:lvlJc w:val="left"/>
      <w:pPr>
        <w:tabs>
          <w:tab w:val="num" w:pos="2160"/>
        </w:tabs>
        <w:ind w:left="2160" w:hanging="1035"/>
      </w:pPr>
      <w:rPr>
        <w:rFonts w:hint="default"/>
      </w:rPr>
    </w:lvl>
  </w:abstractNum>
  <w:abstractNum w:abstractNumId="19">
    <w:nsid w:val="3842771E"/>
    <w:multiLevelType w:val="hybridMultilevel"/>
    <w:tmpl w:val="D09A4232"/>
    <w:lvl w:ilvl="0" w:tplc="9092C3B0">
      <w:start w:val="28"/>
      <w:numFmt w:val="decimal"/>
      <w:lvlText w:val="%1."/>
      <w:lvlJc w:val="left"/>
      <w:pPr>
        <w:tabs>
          <w:tab w:val="num" w:pos="1440"/>
        </w:tabs>
        <w:ind w:left="1440" w:hanging="720"/>
      </w:pPr>
      <w:rPr>
        <w:rFonts w:hint="default"/>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8F2690D"/>
    <w:multiLevelType w:val="singleLevel"/>
    <w:tmpl w:val="C340078A"/>
    <w:lvl w:ilvl="0">
      <w:start w:val="3"/>
      <w:numFmt w:val="decimal"/>
      <w:lvlText w:val="%1."/>
      <w:lvlJc w:val="left"/>
      <w:pPr>
        <w:tabs>
          <w:tab w:val="num" w:pos="720"/>
        </w:tabs>
        <w:ind w:left="720" w:hanging="360"/>
      </w:pPr>
      <w:rPr>
        <w:rFonts w:hint="default"/>
      </w:rPr>
    </w:lvl>
  </w:abstractNum>
  <w:abstractNum w:abstractNumId="21">
    <w:nsid w:val="3A993A2A"/>
    <w:multiLevelType w:val="hybridMultilevel"/>
    <w:tmpl w:val="814819B8"/>
    <w:lvl w:ilvl="0" w:tplc="E4F2A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23">
    <w:nsid w:val="3CA53EC4"/>
    <w:multiLevelType w:val="singleLevel"/>
    <w:tmpl w:val="4DC03ACE"/>
    <w:lvl w:ilvl="0">
      <w:start w:val="1"/>
      <w:numFmt w:val="decimal"/>
      <w:lvlText w:val="%1."/>
      <w:lvlJc w:val="left"/>
      <w:pPr>
        <w:tabs>
          <w:tab w:val="num" w:pos="1440"/>
        </w:tabs>
        <w:ind w:left="1440" w:hanging="720"/>
      </w:pPr>
      <w:rPr>
        <w:rFonts w:hint="default"/>
      </w:rPr>
    </w:lvl>
  </w:abstractNum>
  <w:abstractNum w:abstractNumId="24">
    <w:nsid w:val="3EB73DF8"/>
    <w:multiLevelType w:val="singleLevel"/>
    <w:tmpl w:val="205CCEAC"/>
    <w:lvl w:ilvl="0">
      <w:start w:val="5"/>
      <w:numFmt w:val="decimal"/>
      <w:lvlText w:val="%1."/>
      <w:lvlJc w:val="left"/>
      <w:pPr>
        <w:tabs>
          <w:tab w:val="num" w:pos="720"/>
        </w:tabs>
        <w:ind w:left="720" w:hanging="360"/>
      </w:pPr>
      <w:rPr>
        <w:rFonts w:hint="default"/>
      </w:rPr>
    </w:lvl>
  </w:abstractNum>
  <w:abstractNum w:abstractNumId="25">
    <w:nsid w:val="442C03E6"/>
    <w:multiLevelType w:val="hybridMultilevel"/>
    <w:tmpl w:val="38EC40EE"/>
    <w:lvl w:ilvl="0" w:tplc="0D000E5C">
      <w:start w:val="37"/>
      <w:numFmt w:val="decimal"/>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82F0742"/>
    <w:multiLevelType w:val="hybridMultilevel"/>
    <w:tmpl w:val="69987890"/>
    <w:lvl w:ilvl="0" w:tplc="B6881C00">
      <w:start w:val="1"/>
      <w:numFmt w:val="bullet"/>
      <w:lvlText w:val=""/>
      <w:lvlJc w:val="left"/>
      <w:pPr>
        <w:tabs>
          <w:tab w:val="num" w:pos="720"/>
        </w:tabs>
        <w:ind w:firstLine="72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7">
    <w:nsid w:val="4BF70A68"/>
    <w:multiLevelType w:val="hybridMultilevel"/>
    <w:tmpl w:val="16CCDC94"/>
    <w:lvl w:ilvl="0" w:tplc="45D683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DC5CE5"/>
    <w:multiLevelType w:val="hybridMultilevel"/>
    <w:tmpl w:val="2E5E1626"/>
    <w:lvl w:ilvl="0" w:tplc="74D0E5E6">
      <w:start w:val="28"/>
      <w:numFmt w:val="decimal"/>
      <w:lvlText w:val="%1."/>
      <w:lvlJc w:val="left"/>
      <w:pPr>
        <w:tabs>
          <w:tab w:val="num" w:pos="1080"/>
        </w:tabs>
        <w:ind w:left="1080" w:hanging="360"/>
      </w:pPr>
      <w:rPr>
        <w:rFonts w:hint="default"/>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CF16F6B"/>
    <w:multiLevelType w:val="hybridMultilevel"/>
    <w:tmpl w:val="49245DC2"/>
    <w:lvl w:ilvl="0" w:tplc="781A0E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DAA37B5"/>
    <w:multiLevelType w:val="hybridMultilevel"/>
    <w:tmpl w:val="8F3A19F2"/>
    <w:lvl w:ilvl="0" w:tplc="F2622DEE">
      <w:start w:val="28"/>
      <w:numFmt w:val="decimal"/>
      <w:lvlText w:val="%1."/>
      <w:lvlJc w:val="left"/>
      <w:pPr>
        <w:tabs>
          <w:tab w:val="num" w:pos="1080"/>
        </w:tabs>
        <w:ind w:left="1080" w:hanging="360"/>
      </w:pPr>
      <w:rPr>
        <w:rFonts w:hint="default"/>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DB43855"/>
    <w:multiLevelType w:val="hybridMultilevel"/>
    <w:tmpl w:val="9F7E1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13659B"/>
    <w:multiLevelType w:val="singleLevel"/>
    <w:tmpl w:val="B00AE4F4"/>
    <w:lvl w:ilvl="0">
      <w:start w:val="1"/>
      <w:numFmt w:val="decimal"/>
      <w:lvlText w:val="(%1)"/>
      <w:lvlJc w:val="left"/>
      <w:pPr>
        <w:tabs>
          <w:tab w:val="num" w:pos="720"/>
        </w:tabs>
        <w:ind w:left="720"/>
      </w:pPr>
      <w:rPr>
        <w:rFonts w:hint="default"/>
      </w:rPr>
    </w:lvl>
  </w:abstractNum>
  <w:abstractNum w:abstractNumId="33">
    <w:nsid w:val="4E2A5C54"/>
    <w:multiLevelType w:val="singleLevel"/>
    <w:tmpl w:val="4DC03ACE"/>
    <w:lvl w:ilvl="0">
      <w:start w:val="5"/>
      <w:numFmt w:val="decimal"/>
      <w:lvlText w:val="%1."/>
      <w:lvlJc w:val="left"/>
      <w:pPr>
        <w:tabs>
          <w:tab w:val="num" w:pos="1440"/>
        </w:tabs>
        <w:ind w:left="1440" w:hanging="720"/>
      </w:pPr>
      <w:rPr>
        <w:rFonts w:hint="default"/>
      </w:rPr>
    </w:lvl>
  </w:abstractNum>
  <w:abstractNum w:abstractNumId="34">
    <w:nsid w:val="4EA131B1"/>
    <w:multiLevelType w:val="singleLevel"/>
    <w:tmpl w:val="43D841E2"/>
    <w:lvl w:ilvl="0">
      <w:start w:val="6"/>
      <w:numFmt w:val="upperRoman"/>
      <w:lvlText w:val="%1."/>
      <w:lvlJc w:val="left"/>
      <w:pPr>
        <w:tabs>
          <w:tab w:val="num" w:pos="1440"/>
        </w:tabs>
        <w:ind w:left="1440" w:hanging="720"/>
      </w:pPr>
      <w:rPr>
        <w:rFonts w:hint="default"/>
        <w:b/>
        <w:bCs/>
      </w:rPr>
    </w:lvl>
  </w:abstractNum>
  <w:abstractNum w:abstractNumId="35">
    <w:nsid w:val="4F524C93"/>
    <w:multiLevelType w:val="singleLevel"/>
    <w:tmpl w:val="4DC03ACE"/>
    <w:lvl w:ilvl="0">
      <w:start w:val="13"/>
      <w:numFmt w:val="decimal"/>
      <w:lvlText w:val="%1."/>
      <w:lvlJc w:val="left"/>
      <w:pPr>
        <w:tabs>
          <w:tab w:val="num" w:pos="1440"/>
        </w:tabs>
        <w:ind w:left="1440" w:hanging="720"/>
      </w:pPr>
      <w:rPr>
        <w:rFonts w:hint="default"/>
      </w:rPr>
    </w:lvl>
  </w:abstractNum>
  <w:abstractNum w:abstractNumId="36">
    <w:nsid w:val="53035C75"/>
    <w:multiLevelType w:val="hybridMultilevel"/>
    <w:tmpl w:val="219805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F96BEB"/>
    <w:multiLevelType w:val="singleLevel"/>
    <w:tmpl w:val="0409000F"/>
    <w:lvl w:ilvl="0">
      <w:start w:val="1"/>
      <w:numFmt w:val="decimal"/>
      <w:lvlText w:val="%1."/>
      <w:lvlJc w:val="left"/>
      <w:pPr>
        <w:tabs>
          <w:tab w:val="num" w:pos="360"/>
        </w:tabs>
        <w:ind w:left="360" w:hanging="360"/>
      </w:pPr>
      <w:rPr>
        <w:rFonts w:hint="default"/>
      </w:rPr>
    </w:lvl>
  </w:abstractNum>
  <w:abstractNum w:abstractNumId="38">
    <w:nsid w:val="5ADB4688"/>
    <w:multiLevelType w:val="singleLevel"/>
    <w:tmpl w:val="47108384"/>
    <w:lvl w:ilvl="0">
      <w:start w:val="3"/>
      <w:numFmt w:val="decimal"/>
      <w:lvlText w:val="%1."/>
      <w:lvlJc w:val="left"/>
      <w:pPr>
        <w:tabs>
          <w:tab w:val="num" w:pos="1080"/>
        </w:tabs>
        <w:ind w:left="1080" w:hanging="360"/>
      </w:pPr>
      <w:rPr>
        <w:rFonts w:hint="default"/>
      </w:rPr>
    </w:lvl>
  </w:abstractNum>
  <w:abstractNum w:abstractNumId="39">
    <w:nsid w:val="66730886"/>
    <w:multiLevelType w:val="singleLevel"/>
    <w:tmpl w:val="6AF6BC24"/>
    <w:lvl w:ilvl="0">
      <w:start w:val="1"/>
      <w:numFmt w:val="lowerLetter"/>
      <w:lvlText w:val="(%1)"/>
      <w:lvlJc w:val="left"/>
      <w:pPr>
        <w:tabs>
          <w:tab w:val="num" w:pos="2160"/>
        </w:tabs>
        <w:ind w:left="2160" w:hanging="720"/>
      </w:pPr>
      <w:rPr>
        <w:rFonts w:hint="default"/>
      </w:rPr>
    </w:lvl>
  </w:abstractNum>
  <w:abstractNum w:abstractNumId="40">
    <w:nsid w:val="6B0F5C46"/>
    <w:multiLevelType w:val="singleLevel"/>
    <w:tmpl w:val="44D85FAC"/>
    <w:lvl w:ilvl="0">
      <w:start w:val="1"/>
      <w:numFmt w:val="decimal"/>
      <w:lvlText w:val="(%1)"/>
      <w:lvlJc w:val="left"/>
      <w:pPr>
        <w:tabs>
          <w:tab w:val="num" w:pos="1440"/>
        </w:tabs>
        <w:ind w:left="1440" w:hanging="720"/>
      </w:pPr>
      <w:rPr>
        <w:rFonts w:hint="default"/>
      </w:rPr>
    </w:lvl>
  </w:abstractNum>
  <w:abstractNum w:abstractNumId="41">
    <w:nsid w:val="6D297E9B"/>
    <w:multiLevelType w:val="hybridMultilevel"/>
    <w:tmpl w:val="7C1006FC"/>
    <w:lvl w:ilvl="0" w:tplc="5CA6E24E">
      <w:start w:val="8"/>
      <w:numFmt w:val="upperRoman"/>
      <w:lvlText w:val="%1."/>
      <w:lvlJc w:val="left"/>
      <w:pPr>
        <w:tabs>
          <w:tab w:val="num" w:pos="1080"/>
        </w:tabs>
        <w:ind w:left="1080" w:hanging="72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DC44B41"/>
    <w:multiLevelType w:val="singleLevel"/>
    <w:tmpl w:val="5F1C44FC"/>
    <w:lvl w:ilvl="0">
      <w:start w:val="1"/>
      <w:numFmt w:val="upperLetter"/>
      <w:lvlText w:val="%1."/>
      <w:lvlJc w:val="left"/>
      <w:pPr>
        <w:tabs>
          <w:tab w:val="num" w:pos="1440"/>
        </w:tabs>
        <w:ind w:left="1440" w:hanging="720"/>
      </w:pPr>
      <w:rPr>
        <w:rFonts w:hint="default"/>
        <w:b/>
        <w:bCs/>
      </w:rPr>
    </w:lvl>
  </w:abstractNum>
  <w:abstractNum w:abstractNumId="43">
    <w:nsid w:val="72794EF7"/>
    <w:multiLevelType w:val="singleLevel"/>
    <w:tmpl w:val="5FB2A8E0"/>
    <w:lvl w:ilvl="0">
      <w:start w:val="1"/>
      <w:numFmt w:val="lowerLetter"/>
      <w:lvlText w:val="(%1)"/>
      <w:lvlJc w:val="left"/>
      <w:pPr>
        <w:tabs>
          <w:tab w:val="num" w:pos="2160"/>
        </w:tabs>
        <w:ind w:left="2160" w:hanging="1035"/>
      </w:pPr>
      <w:rPr>
        <w:rFonts w:hint="default"/>
      </w:rPr>
    </w:lvl>
  </w:abstractNum>
  <w:abstractNum w:abstractNumId="44">
    <w:nsid w:val="73AB333B"/>
    <w:multiLevelType w:val="singleLevel"/>
    <w:tmpl w:val="4DC03ACE"/>
    <w:lvl w:ilvl="0">
      <w:start w:val="3"/>
      <w:numFmt w:val="decimal"/>
      <w:lvlText w:val="%1."/>
      <w:lvlJc w:val="left"/>
      <w:pPr>
        <w:tabs>
          <w:tab w:val="num" w:pos="1440"/>
        </w:tabs>
        <w:ind w:left="1440" w:hanging="720"/>
      </w:pPr>
      <w:rPr>
        <w:rFonts w:hint="default"/>
      </w:rPr>
    </w:lvl>
  </w:abstractNum>
  <w:abstractNum w:abstractNumId="45">
    <w:nsid w:val="73D465CF"/>
    <w:multiLevelType w:val="singleLevel"/>
    <w:tmpl w:val="4DC03ACE"/>
    <w:lvl w:ilvl="0">
      <w:start w:val="3"/>
      <w:numFmt w:val="decimal"/>
      <w:lvlText w:val="%1."/>
      <w:lvlJc w:val="left"/>
      <w:pPr>
        <w:tabs>
          <w:tab w:val="num" w:pos="1440"/>
        </w:tabs>
        <w:ind w:left="1440" w:hanging="720"/>
      </w:pPr>
      <w:rPr>
        <w:rFonts w:hint="default"/>
      </w:rPr>
    </w:lvl>
  </w:abstractNum>
  <w:abstractNum w:abstractNumId="46">
    <w:nsid w:val="7C7E51F7"/>
    <w:multiLevelType w:val="singleLevel"/>
    <w:tmpl w:val="639233E8"/>
    <w:lvl w:ilvl="0">
      <w:start w:val="1"/>
      <w:numFmt w:val="decimal"/>
      <w:lvlText w:val="%1."/>
      <w:lvlJc w:val="left"/>
      <w:pPr>
        <w:tabs>
          <w:tab w:val="num" w:pos="1080"/>
        </w:tabs>
        <w:ind w:left="1080" w:hanging="360"/>
      </w:pPr>
      <w:rPr>
        <w:rFonts w:hint="default"/>
      </w:rPr>
    </w:lvl>
  </w:abstractNum>
  <w:abstractNum w:abstractNumId="47">
    <w:nsid w:val="7FE95202"/>
    <w:multiLevelType w:val="singleLevel"/>
    <w:tmpl w:val="4DC03ACE"/>
    <w:lvl w:ilvl="0">
      <w:start w:val="4"/>
      <w:numFmt w:val="decimal"/>
      <w:lvlText w:val="%1."/>
      <w:lvlJc w:val="left"/>
      <w:pPr>
        <w:tabs>
          <w:tab w:val="num" w:pos="1440"/>
        </w:tabs>
        <w:ind w:left="1440" w:hanging="720"/>
      </w:pPr>
      <w:rPr>
        <w:rFonts w:hint="default"/>
      </w:rPr>
    </w:lvl>
  </w:abstractNum>
  <w:num w:numId="1">
    <w:abstractNumId w:val="9"/>
  </w:num>
  <w:num w:numId="2">
    <w:abstractNumId w:val="32"/>
  </w:num>
  <w:num w:numId="3">
    <w:abstractNumId w:val="18"/>
  </w:num>
  <w:num w:numId="4">
    <w:abstractNumId w:val="43"/>
  </w:num>
  <w:num w:numId="5">
    <w:abstractNumId w:val="10"/>
  </w:num>
  <w:num w:numId="6">
    <w:abstractNumId w:val="3"/>
  </w:num>
  <w:num w:numId="7">
    <w:abstractNumId w:val="23"/>
  </w:num>
  <w:num w:numId="8">
    <w:abstractNumId w:val="15"/>
  </w:num>
  <w:num w:numId="9">
    <w:abstractNumId w:val="4"/>
  </w:num>
  <w:num w:numId="10">
    <w:abstractNumId w:val="17"/>
  </w:num>
  <w:num w:numId="11">
    <w:abstractNumId w:val="34"/>
  </w:num>
  <w:num w:numId="12">
    <w:abstractNumId w:val="1"/>
  </w:num>
  <w:num w:numId="13">
    <w:abstractNumId w:val="42"/>
  </w:num>
  <w:num w:numId="14">
    <w:abstractNumId w:val="39"/>
  </w:num>
  <w:num w:numId="15">
    <w:abstractNumId w:val="12"/>
  </w:num>
  <w:num w:numId="16">
    <w:abstractNumId w:val="46"/>
  </w:num>
  <w:num w:numId="17">
    <w:abstractNumId w:val="37"/>
  </w:num>
  <w:num w:numId="18">
    <w:abstractNumId w:val="44"/>
  </w:num>
  <w:num w:numId="19">
    <w:abstractNumId w:val="7"/>
  </w:num>
  <w:num w:numId="20">
    <w:abstractNumId w:val="20"/>
  </w:num>
  <w:num w:numId="21">
    <w:abstractNumId w:val="38"/>
  </w:num>
  <w:num w:numId="22">
    <w:abstractNumId w:val="45"/>
  </w:num>
  <w:num w:numId="23">
    <w:abstractNumId w:val="47"/>
  </w:num>
  <w:num w:numId="24">
    <w:abstractNumId w:val="33"/>
  </w:num>
  <w:num w:numId="25">
    <w:abstractNumId w:val="24"/>
  </w:num>
  <w:num w:numId="26">
    <w:abstractNumId w:val="5"/>
  </w:num>
  <w:num w:numId="27">
    <w:abstractNumId w:val="13"/>
  </w:num>
  <w:num w:numId="28">
    <w:abstractNumId w:val="8"/>
  </w:num>
  <w:num w:numId="29">
    <w:abstractNumId w:val="35"/>
  </w:num>
  <w:num w:numId="30">
    <w:abstractNumId w:val="22"/>
  </w:num>
  <w:num w:numId="31">
    <w:abstractNumId w:val="40"/>
    <w:lvlOverride w:ilvl="0">
      <w:startOverride w:val="1"/>
    </w:lvlOverride>
  </w:num>
  <w:num w:numId="32">
    <w:abstractNumId w:val="41"/>
  </w:num>
  <w:num w:numId="33">
    <w:abstractNumId w:val="19"/>
  </w:num>
  <w:num w:numId="34">
    <w:abstractNumId w:val="25"/>
  </w:num>
  <w:num w:numId="35">
    <w:abstractNumId w:val="30"/>
  </w:num>
  <w:num w:numId="36">
    <w:abstractNumId w:val="28"/>
  </w:num>
  <w:num w:numId="37">
    <w:abstractNumId w:val="6"/>
  </w:num>
  <w:num w:numId="38">
    <w:abstractNumId w:val="26"/>
  </w:num>
  <w:num w:numId="39">
    <w:abstractNumId w:val="11"/>
  </w:num>
  <w:num w:numId="40">
    <w:abstractNumId w:val="0"/>
  </w:num>
  <w:num w:numId="41">
    <w:abstractNumId w:val="2"/>
  </w:num>
  <w:num w:numId="42">
    <w:abstractNumId w:val="27"/>
  </w:num>
  <w:num w:numId="43">
    <w:abstractNumId w:val="36"/>
  </w:num>
  <w:num w:numId="44">
    <w:abstractNumId w:val="16"/>
  </w:num>
  <w:num w:numId="45">
    <w:abstractNumId w:val="29"/>
  </w:num>
  <w:num w:numId="46">
    <w:abstractNumId w:val="31"/>
  </w:num>
  <w:num w:numId="47">
    <w:abstractNumId w:val="14"/>
  </w:num>
  <w:num w:numId="4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rsids>
    <w:rsidRoot w:val="00322A50"/>
    <w:rsid w:val="00000041"/>
    <w:rsid w:val="00001520"/>
    <w:rsid w:val="000037C1"/>
    <w:rsid w:val="000041B1"/>
    <w:rsid w:val="00010500"/>
    <w:rsid w:val="00012EE3"/>
    <w:rsid w:val="0002128A"/>
    <w:rsid w:val="000231A8"/>
    <w:rsid w:val="00025D5E"/>
    <w:rsid w:val="00026642"/>
    <w:rsid w:val="00032DAA"/>
    <w:rsid w:val="00033472"/>
    <w:rsid w:val="0003702E"/>
    <w:rsid w:val="0004094B"/>
    <w:rsid w:val="000412A0"/>
    <w:rsid w:val="00043D13"/>
    <w:rsid w:val="00046172"/>
    <w:rsid w:val="00053EF9"/>
    <w:rsid w:val="0005551F"/>
    <w:rsid w:val="00062865"/>
    <w:rsid w:val="00063998"/>
    <w:rsid w:val="00065EB2"/>
    <w:rsid w:val="00066445"/>
    <w:rsid w:val="00067B7B"/>
    <w:rsid w:val="00071F00"/>
    <w:rsid w:val="000740E0"/>
    <w:rsid w:val="00081791"/>
    <w:rsid w:val="00091268"/>
    <w:rsid w:val="00094B7A"/>
    <w:rsid w:val="00094C3D"/>
    <w:rsid w:val="000964D3"/>
    <w:rsid w:val="00096741"/>
    <w:rsid w:val="000A02D7"/>
    <w:rsid w:val="000A106A"/>
    <w:rsid w:val="000A2D8E"/>
    <w:rsid w:val="000A2F7E"/>
    <w:rsid w:val="000A7CCF"/>
    <w:rsid w:val="000B4BF9"/>
    <w:rsid w:val="000B60D6"/>
    <w:rsid w:val="000C1ECE"/>
    <w:rsid w:val="000C4F1E"/>
    <w:rsid w:val="000D2A44"/>
    <w:rsid w:val="000D727C"/>
    <w:rsid w:val="000E0E59"/>
    <w:rsid w:val="000E2081"/>
    <w:rsid w:val="000E2464"/>
    <w:rsid w:val="000E688C"/>
    <w:rsid w:val="000E6F9B"/>
    <w:rsid w:val="000F52FC"/>
    <w:rsid w:val="000F60D6"/>
    <w:rsid w:val="00100BC1"/>
    <w:rsid w:val="00101B6C"/>
    <w:rsid w:val="00105A43"/>
    <w:rsid w:val="001079CD"/>
    <w:rsid w:val="00107ACE"/>
    <w:rsid w:val="00117797"/>
    <w:rsid w:val="001273E3"/>
    <w:rsid w:val="00131090"/>
    <w:rsid w:val="00135B0C"/>
    <w:rsid w:val="001403CF"/>
    <w:rsid w:val="001435C0"/>
    <w:rsid w:val="00143696"/>
    <w:rsid w:val="0014695B"/>
    <w:rsid w:val="0015349C"/>
    <w:rsid w:val="0016227D"/>
    <w:rsid w:val="001625EA"/>
    <w:rsid w:val="00162BC8"/>
    <w:rsid w:val="00163DFD"/>
    <w:rsid w:val="001650CE"/>
    <w:rsid w:val="0016658D"/>
    <w:rsid w:val="0016724F"/>
    <w:rsid w:val="001714AD"/>
    <w:rsid w:val="001716A8"/>
    <w:rsid w:val="00176A07"/>
    <w:rsid w:val="00186FA8"/>
    <w:rsid w:val="001913F7"/>
    <w:rsid w:val="00194826"/>
    <w:rsid w:val="00197053"/>
    <w:rsid w:val="001A12BA"/>
    <w:rsid w:val="001B31D5"/>
    <w:rsid w:val="001C470C"/>
    <w:rsid w:val="001C64AF"/>
    <w:rsid w:val="001C6FF8"/>
    <w:rsid w:val="001C7B26"/>
    <w:rsid w:val="001D227D"/>
    <w:rsid w:val="001E20EA"/>
    <w:rsid w:val="001E2B15"/>
    <w:rsid w:val="001F2E93"/>
    <w:rsid w:val="001F6CEF"/>
    <w:rsid w:val="0020049E"/>
    <w:rsid w:val="00204B90"/>
    <w:rsid w:val="00204D89"/>
    <w:rsid w:val="002074DA"/>
    <w:rsid w:val="00207D87"/>
    <w:rsid w:val="00207F1E"/>
    <w:rsid w:val="00210469"/>
    <w:rsid w:val="00216A10"/>
    <w:rsid w:val="00220898"/>
    <w:rsid w:val="00225D87"/>
    <w:rsid w:val="00231BCE"/>
    <w:rsid w:val="00232747"/>
    <w:rsid w:val="00233BAA"/>
    <w:rsid w:val="002349A6"/>
    <w:rsid w:val="00240C66"/>
    <w:rsid w:val="00241CAC"/>
    <w:rsid w:val="0024285A"/>
    <w:rsid w:val="00243B28"/>
    <w:rsid w:val="00244529"/>
    <w:rsid w:val="00244861"/>
    <w:rsid w:val="002454E3"/>
    <w:rsid w:val="00246217"/>
    <w:rsid w:val="00252B0B"/>
    <w:rsid w:val="00264607"/>
    <w:rsid w:val="00270327"/>
    <w:rsid w:val="002725E5"/>
    <w:rsid w:val="0027338D"/>
    <w:rsid w:val="00280294"/>
    <w:rsid w:val="002839FE"/>
    <w:rsid w:val="00286EB1"/>
    <w:rsid w:val="00290B8E"/>
    <w:rsid w:val="00296D55"/>
    <w:rsid w:val="002B37DF"/>
    <w:rsid w:val="002C16FA"/>
    <w:rsid w:val="002C42D6"/>
    <w:rsid w:val="002C7250"/>
    <w:rsid w:val="002D0AA2"/>
    <w:rsid w:val="002D1467"/>
    <w:rsid w:val="002D1A0F"/>
    <w:rsid w:val="002D51CD"/>
    <w:rsid w:val="002D53ED"/>
    <w:rsid w:val="002E0678"/>
    <w:rsid w:val="002E3332"/>
    <w:rsid w:val="002E7B6F"/>
    <w:rsid w:val="002F638F"/>
    <w:rsid w:val="00305054"/>
    <w:rsid w:val="003058F1"/>
    <w:rsid w:val="003074C8"/>
    <w:rsid w:val="00307CEE"/>
    <w:rsid w:val="00310FFB"/>
    <w:rsid w:val="00312503"/>
    <w:rsid w:val="00322009"/>
    <w:rsid w:val="00322A50"/>
    <w:rsid w:val="00325206"/>
    <w:rsid w:val="003264EF"/>
    <w:rsid w:val="00326F5F"/>
    <w:rsid w:val="003302C0"/>
    <w:rsid w:val="0033692D"/>
    <w:rsid w:val="003377E9"/>
    <w:rsid w:val="00343303"/>
    <w:rsid w:val="00345A28"/>
    <w:rsid w:val="00346CCF"/>
    <w:rsid w:val="00350333"/>
    <w:rsid w:val="003505CC"/>
    <w:rsid w:val="00350E2E"/>
    <w:rsid w:val="0035225E"/>
    <w:rsid w:val="00353665"/>
    <w:rsid w:val="003614DF"/>
    <w:rsid w:val="00370EE9"/>
    <w:rsid w:val="00374B93"/>
    <w:rsid w:val="00377159"/>
    <w:rsid w:val="00381E2D"/>
    <w:rsid w:val="00387F68"/>
    <w:rsid w:val="0039160A"/>
    <w:rsid w:val="00392F17"/>
    <w:rsid w:val="00392FDE"/>
    <w:rsid w:val="00393BD3"/>
    <w:rsid w:val="00396E72"/>
    <w:rsid w:val="003A2528"/>
    <w:rsid w:val="003B342D"/>
    <w:rsid w:val="003B4763"/>
    <w:rsid w:val="003B5121"/>
    <w:rsid w:val="003B5410"/>
    <w:rsid w:val="003B64B1"/>
    <w:rsid w:val="003C0CEF"/>
    <w:rsid w:val="003C58EE"/>
    <w:rsid w:val="003D3E44"/>
    <w:rsid w:val="003D65C6"/>
    <w:rsid w:val="003E6FEE"/>
    <w:rsid w:val="003E77E3"/>
    <w:rsid w:val="003F1449"/>
    <w:rsid w:val="003F5EB2"/>
    <w:rsid w:val="00400A56"/>
    <w:rsid w:val="00401FA4"/>
    <w:rsid w:val="00403545"/>
    <w:rsid w:val="004109BE"/>
    <w:rsid w:val="00410C1A"/>
    <w:rsid w:val="004140E4"/>
    <w:rsid w:val="004157DB"/>
    <w:rsid w:val="00415DE5"/>
    <w:rsid w:val="00421B8D"/>
    <w:rsid w:val="00425D0A"/>
    <w:rsid w:val="004264C3"/>
    <w:rsid w:val="00427281"/>
    <w:rsid w:val="004275BC"/>
    <w:rsid w:val="004279FB"/>
    <w:rsid w:val="004325CF"/>
    <w:rsid w:val="00432872"/>
    <w:rsid w:val="00436D19"/>
    <w:rsid w:val="004406DE"/>
    <w:rsid w:val="00441EA2"/>
    <w:rsid w:val="00450FB4"/>
    <w:rsid w:val="0046006D"/>
    <w:rsid w:val="00463BCD"/>
    <w:rsid w:val="00466FDB"/>
    <w:rsid w:val="0047786B"/>
    <w:rsid w:val="00477970"/>
    <w:rsid w:val="00483743"/>
    <w:rsid w:val="004841B3"/>
    <w:rsid w:val="00497404"/>
    <w:rsid w:val="004A016B"/>
    <w:rsid w:val="004A7EF7"/>
    <w:rsid w:val="004B136E"/>
    <w:rsid w:val="004B752F"/>
    <w:rsid w:val="004C163A"/>
    <w:rsid w:val="004C7461"/>
    <w:rsid w:val="004D02CE"/>
    <w:rsid w:val="004D3D6C"/>
    <w:rsid w:val="004D4905"/>
    <w:rsid w:val="004E6C3E"/>
    <w:rsid w:val="004E7369"/>
    <w:rsid w:val="004F3CC1"/>
    <w:rsid w:val="004F7716"/>
    <w:rsid w:val="00502C84"/>
    <w:rsid w:val="00504A25"/>
    <w:rsid w:val="00523BD2"/>
    <w:rsid w:val="00533F2A"/>
    <w:rsid w:val="00540110"/>
    <w:rsid w:val="00543900"/>
    <w:rsid w:val="00557F88"/>
    <w:rsid w:val="00564CC5"/>
    <w:rsid w:val="00567ED3"/>
    <w:rsid w:val="00571DAF"/>
    <w:rsid w:val="00574674"/>
    <w:rsid w:val="00577DCF"/>
    <w:rsid w:val="00583448"/>
    <w:rsid w:val="00585A6B"/>
    <w:rsid w:val="00585EFC"/>
    <w:rsid w:val="005901FA"/>
    <w:rsid w:val="005A30E2"/>
    <w:rsid w:val="005A36F4"/>
    <w:rsid w:val="005B3767"/>
    <w:rsid w:val="005B622E"/>
    <w:rsid w:val="005B767F"/>
    <w:rsid w:val="005C253F"/>
    <w:rsid w:val="005C772D"/>
    <w:rsid w:val="005D1350"/>
    <w:rsid w:val="005D18E9"/>
    <w:rsid w:val="005D4481"/>
    <w:rsid w:val="005D7F1F"/>
    <w:rsid w:val="005E01E5"/>
    <w:rsid w:val="005E76FC"/>
    <w:rsid w:val="005E7A91"/>
    <w:rsid w:val="005F38F9"/>
    <w:rsid w:val="005F4A0B"/>
    <w:rsid w:val="005F6C40"/>
    <w:rsid w:val="00610460"/>
    <w:rsid w:val="00610A31"/>
    <w:rsid w:val="00612B66"/>
    <w:rsid w:val="00612B8D"/>
    <w:rsid w:val="0061659E"/>
    <w:rsid w:val="006209E6"/>
    <w:rsid w:val="00620CDA"/>
    <w:rsid w:val="00620D8C"/>
    <w:rsid w:val="00621387"/>
    <w:rsid w:val="00622478"/>
    <w:rsid w:val="00627323"/>
    <w:rsid w:val="00633A91"/>
    <w:rsid w:val="006364C8"/>
    <w:rsid w:val="00640D7B"/>
    <w:rsid w:val="00641734"/>
    <w:rsid w:val="00643006"/>
    <w:rsid w:val="0065026A"/>
    <w:rsid w:val="00650297"/>
    <w:rsid w:val="00650D70"/>
    <w:rsid w:val="00652BB1"/>
    <w:rsid w:val="00657C71"/>
    <w:rsid w:val="00666645"/>
    <w:rsid w:val="006810E8"/>
    <w:rsid w:val="00681263"/>
    <w:rsid w:val="00681CC1"/>
    <w:rsid w:val="00682374"/>
    <w:rsid w:val="0068253B"/>
    <w:rsid w:val="00685F74"/>
    <w:rsid w:val="00693459"/>
    <w:rsid w:val="0069751E"/>
    <w:rsid w:val="006A5E7C"/>
    <w:rsid w:val="006A61FB"/>
    <w:rsid w:val="006A7B8A"/>
    <w:rsid w:val="006B17D4"/>
    <w:rsid w:val="006B20A4"/>
    <w:rsid w:val="006B29B8"/>
    <w:rsid w:val="006B5306"/>
    <w:rsid w:val="006B7FE0"/>
    <w:rsid w:val="006C4162"/>
    <w:rsid w:val="006C4336"/>
    <w:rsid w:val="006D7A70"/>
    <w:rsid w:val="006D7FE6"/>
    <w:rsid w:val="006E1376"/>
    <w:rsid w:val="006E79A9"/>
    <w:rsid w:val="006F091D"/>
    <w:rsid w:val="006F1B0D"/>
    <w:rsid w:val="006F21D8"/>
    <w:rsid w:val="00701843"/>
    <w:rsid w:val="00704240"/>
    <w:rsid w:val="007108D7"/>
    <w:rsid w:val="00713114"/>
    <w:rsid w:val="00713AE8"/>
    <w:rsid w:val="00713B7D"/>
    <w:rsid w:val="0073368A"/>
    <w:rsid w:val="007338C3"/>
    <w:rsid w:val="007352CB"/>
    <w:rsid w:val="00741376"/>
    <w:rsid w:val="00741B51"/>
    <w:rsid w:val="00765C4C"/>
    <w:rsid w:val="0076778A"/>
    <w:rsid w:val="007713EE"/>
    <w:rsid w:val="007769C8"/>
    <w:rsid w:val="00781060"/>
    <w:rsid w:val="00787F35"/>
    <w:rsid w:val="0079246C"/>
    <w:rsid w:val="00794E38"/>
    <w:rsid w:val="00797049"/>
    <w:rsid w:val="007A2C17"/>
    <w:rsid w:val="007A77C8"/>
    <w:rsid w:val="007B23D4"/>
    <w:rsid w:val="007B3C50"/>
    <w:rsid w:val="007B54B3"/>
    <w:rsid w:val="007C34FF"/>
    <w:rsid w:val="007C38EA"/>
    <w:rsid w:val="007C4E71"/>
    <w:rsid w:val="007C6088"/>
    <w:rsid w:val="007D34AA"/>
    <w:rsid w:val="007E2543"/>
    <w:rsid w:val="007E484D"/>
    <w:rsid w:val="007E706C"/>
    <w:rsid w:val="007E736A"/>
    <w:rsid w:val="007E79EF"/>
    <w:rsid w:val="007F3CE5"/>
    <w:rsid w:val="007F4DA7"/>
    <w:rsid w:val="008007AC"/>
    <w:rsid w:val="00801C41"/>
    <w:rsid w:val="00803E25"/>
    <w:rsid w:val="008071A8"/>
    <w:rsid w:val="00810203"/>
    <w:rsid w:val="008113BF"/>
    <w:rsid w:val="008121A5"/>
    <w:rsid w:val="00814F93"/>
    <w:rsid w:val="00815B93"/>
    <w:rsid w:val="00816E17"/>
    <w:rsid w:val="00817A5E"/>
    <w:rsid w:val="00823185"/>
    <w:rsid w:val="00830C30"/>
    <w:rsid w:val="0083499E"/>
    <w:rsid w:val="00842A9A"/>
    <w:rsid w:val="00854A1D"/>
    <w:rsid w:val="00855003"/>
    <w:rsid w:val="008554FA"/>
    <w:rsid w:val="0085722D"/>
    <w:rsid w:val="00881FDE"/>
    <w:rsid w:val="00883AFA"/>
    <w:rsid w:val="0088751F"/>
    <w:rsid w:val="00890112"/>
    <w:rsid w:val="00892EF9"/>
    <w:rsid w:val="008933DE"/>
    <w:rsid w:val="0089427A"/>
    <w:rsid w:val="00897EC4"/>
    <w:rsid w:val="008A192D"/>
    <w:rsid w:val="008B045D"/>
    <w:rsid w:val="008B1410"/>
    <w:rsid w:val="008B28FF"/>
    <w:rsid w:val="008B3497"/>
    <w:rsid w:val="008B3569"/>
    <w:rsid w:val="008B3957"/>
    <w:rsid w:val="008B57B3"/>
    <w:rsid w:val="008B7BA6"/>
    <w:rsid w:val="008C0639"/>
    <w:rsid w:val="008C16DF"/>
    <w:rsid w:val="008C58BF"/>
    <w:rsid w:val="008D311A"/>
    <w:rsid w:val="008E0000"/>
    <w:rsid w:val="008E13EA"/>
    <w:rsid w:val="008F20FE"/>
    <w:rsid w:val="008F6834"/>
    <w:rsid w:val="0090037E"/>
    <w:rsid w:val="00900636"/>
    <w:rsid w:val="009070BA"/>
    <w:rsid w:val="009078CA"/>
    <w:rsid w:val="00913BCD"/>
    <w:rsid w:val="00914E6C"/>
    <w:rsid w:val="0091578C"/>
    <w:rsid w:val="0091769E"/>
    <w:rsid w:val="009234A5"/>
    <w:rsid w:val="00927BC6"/>
    <w:rsid w:val="009373DD"/>
    <w:rsid w:val="009377EB"/>
    <w:rsid w:val="00937935"/>
    <w:rsid w:val="00937F21"/>
    <w:rsid w:val="00946D13"/>
    <w:rsid w:val="00957624"/>
    <w:rsid w:val="0096688C"/>
    <w:rsid w:val="009721CC"/>
    <w:rsid w:val="00976168"/>
    <w:rsid w:val="009774D1"/>
    <w:rsid w:val="00983159"/>
    <w:rsid w:val="00983223"/>
    <w:rsid w:val="00990C2F"/>
    <w:rsid w:val="00992723"/>
    <w:rsid w:val="00995280"/>
    <w:rsid w:val="0099536A"/>
    <w:rsid w:val="00997909"/>
    <w:rsid w:val="009A0FC5"/>
    <w:rsid w:val="009A2159"/>
    <w:rsid w:val="009A4384"/>
    <w:rsid w:val="009B1135"/>
    <w:rsid w:val="009B481C"/>
    <w:rsid w:val="009B63D6"/>
    <w:rsid w:val="009C09DD"/>
    <w:rsid w:val="009C7AF4"/>
    <w:rsid w:val="009D2710"/>
    <w:rsid w:val="009D5382"/>
    <w:rsid w:val="009E4D28"/>
    <w:rsid w:val="009E5F46"/>
    <w:rsid w:val="009E7A1E"/>
    <w:rsid w:val="009F1DAE"/>
    <w:rsid w:val="009F3F1F"/>
    <w:rsid w:val="009F75DF"/>
    <w:rsid w:val="00A02F47"/>
    <w:rsid w:val="00A030A2"/>
    <w:rsid w:val="00A0478D"/>
    <w:rsid w:val="00A0794A"/>
    <w:rsid w:val="00A12C27"/>
    <w:rsid w:val="00A144E0"/>
    <w:rsid w:val="00A21047"/>
    <w:rsid w:val="00A22C06"/>
    <w:rsid w:val="00A24B22"/>
    <w:rsid w:val="00A31CA9"/>
    <w:rsid w:val="00A3475E"/>
    <w:rsid w:val="00A37E47"/>
    <w:rsid w:val="00A46241"/>
    <w:rsid w:val="00A52FCF"/>
    <w:rsid w:val="00A54F6E"/>
    <w:rsid w:val="00A6286E"/>
    <w:rsid w:val="00A63091"/>
    <w:rsid w:val="00A651BB"/>
    <w:rsid w:val="00A65F86"/>
    <w:rsid w:val="00A76B85"/>
    <w:rsid w:val="00A80820"/>
    <w:rsid w:val="00A857FB"/>
    <w:rsid w:val="00A90D15"/>
    <w:rsid w:val="00A9134B"/>
    <w:rsid w:val="00AA4103"/>
    <w:rsid w:val="00AA7830"/>
    <w:rsid w:val="00AC43DF"/>
    <w:rsid w:val="00AD3245"/>
    <w:rsid w:val="00AD3652"/>
    <w:rsid w:val="00AE0889"/>
    <w:rsid w:val="00AF3E4B"/>
    <w:rsid w:val="00AF3E8D"/>
    <w:rsid w:val="00B03E6A"/>
    <w:rsid w:val="00B06E4F"/>
    <w:rsid w:val="00B10313"/>
    <w:rsid w:val="00B11908"/>
    <w:rsid w:val="00B11F54"/>
    <w:rsid w:val="00B127AA"/>
    <w:rsid w:val="00B145CE"/>
    <w:rsid w:val="00B15D8A"/>
    <w:rsid w:val="00B16F6A"/>
    <w:rsid w:val="00B21646"/>
    <w:rsid w:val="00B23419"/>
    <w:rsid w:val="00B23DA8"/>
    <w:rsid w:val="00B31A0F"/>
    <w:rsid w:val="00B35125"/>
    <w:rsid w:val="00B40B6E"/>
    <w:rsid w:val="00B40FAB"/>
    <w:rsid w:val="00B42526"/>
    <w:rsid w:val="00B43E57"/>
    <w:rsid w:val="00B53CBE"/>
    <w:rsid w:val="00B55CDB"/>
    <w:rsid w:val="00B70B84"/>
    <w:rsid w:val="00B71697"/>
    <w:rsid w:val="00B72E2F"/>
    <w:rsid w:val="00B75680"/>
    <w:rsid w:val="00B84C99"/>
    <w:rsid w:val="00B92174"/>
    <w:rsid w:val="00B9377D"/>
    <w:rsid w:val="00B977C1"/>
    <w:rsid w:val="00BA509D"/>
    <w:rsid w:val="00BA671E"/>
    <w:rsid w:val="00BB1796"/>
    <w:rsid w:val="00BB6D92"/>
    <w:rsid w:val="00BC4C71"/>
    <w:rsid w:val="00BD0467"/>
    <w:rsid w:val="00BD369B"/>
    <w:rsid w:val="00BD4EF1"/>
    <w:rsid w:val="00BE16C1"/>
    <w:rsid w:val="00BE4FEF"/>
    <w:rsid w:val="00BE5445"/>
    <w:rsid w:val="00C00937"/>
    <w:rsid w:val="00C009ED"/>
    <w:rsid w:val="00C019BD"/>
    <w:rsid w:val="00C0718B"/>
    <w:rsid w:val="00C1114E"/>
    <w:rsid w:val="00C14757"/>
    <w:rsid w:val="00C207AE"/>
    <w:rsid w:val="00C25493"/>
    <w:rsid w:val="00C263CD"/>
    <w:rsid w:val="00C337D5"/>
    <w:rsid w:val="00C35074"/>
    <w:rsid w:val="00C3625F"/>
    <w:rsid w:val="00C429A5"/>
    <w:rsid w:val="00C55C55"/>
    <w:rsid w:val="00C63E82"/>
    <w:rsid w:val="00C64A27"/>
    <w:rsid w:val="00C666CC"/>
    <w:rsid w:val="00C66F38"/>
    <w:rsid w:val="00C67F77"/>
    <w:rsid w:val="00C77216"/>
    <w:rsid w:val="00C77BB9"/>
    <w:rsid w:val="00C80B67"/>
    <w:rsid w:val="00C80F37"/>
    <w:rsid w:val="00C8680A"/>
    <w:rsid w:val="00C8718A"/>
    <w:rsid w:val="00C917D9"/>
    <w:rsid w:val="00CA55DE"/>
    <w:rsid w:val="00CA577E"/>
    <w:rsid w:val="00CB4796"/>
    <w:rsid w:val="00CC07D4"/>
    <w:rsid w:val="00CC1A30"/>
    <w:rsid w:val="00CC5066"/>
    <w:rsid w:val="00CC65B9"/>
    <w:rsid w:val="00CD37FF"/>
    <w:rsid w:val="00CD5985"/>
    <w:rsid w:val="00CD6329"/>
    <w:rsid w:val="00CE0DB3"/>
    <w:rsid w:val="00CE10F2"/>
    <w:rsid w:val="00CE22C9"/>
    <w:rsid w:val="00CE56FD"/>
    <w:rsid w:val="00CF39BE"/>
    <w:rsid w:val="00CF3FAF"/>
    <w:rsid w:val="00CF5F7E"/>
    <w:rsid w:val="00D006CD"/>
    <w:rsid w:val="00D0294A"/>
    <w:rsid w:val="00D02A4B"/>
    <w:rsid w:val="00D04EC3"/>
    <w:rsid w:val="00D136D5"/>
    <w:rsid w:val="00D1409D"/>
    <w:rsid w:val="00D14E37"/>
    <w:rsid w:val="00D21767"/>
    <w:rsid w:val="00D21D9B"/>
    <w:rsid w:val="00D26D84"/>
    <w:rsid w:val="00D30215"/>
    <w:rsid w:val="00D305F3"/>
    <w:rsid w:val="00D31636"/>
    <w:rsid w:val="00D34ED8"/>
    <w:rsid w:val="00D43177"/>
    <w:rsid w:val="00D4402E"/>
    <w:rsid w:val="00D45CF6"/>
    <w:rsid w:val="00D5031C"/>
    <w:rsid w:val="00D51C66"/>
    <w:rsid w:val="00D6210F"/>
    <w:rsid w:val="00D64FD3"/>
    <w:rsid w:val="00D664E0"/>
    <w:rsid w:val="00D6653F"/>
    <w:rsid w:val="00D6657B"/>
    <w:rsid w:val="00D706B6"/>
    <w:rsid w:val="00D75CE3"/>
    <w:rsid w:val="00D81A12"/>
    <w:rsid w:val="00D81B0A"/>
    <w:rsid w:val="00D8434D"/>
    <w:rsid w:val="00DA149F"/>
    <w:rsid w:val="00DB2D57"/>
    <w:rsid w:val="00DB7B76"/>
    <w:rsid w:val="00DC1155"/>
    <w:rsid w:val="00DC2646"/>
    <w:rsid w:val="00DC3440"/>
    <w:rsid w:val="00DC5152"/>
    <w:rsid w:val="00DD0BE6"/>
    <w:rsid w:val="00DD2F2B"/>
    <w:rsid w:val="00DD382D"/>
    <w:rsid w:val="00DD3CE6"/>
    <w:rsid w:val="00DE2FAF"/>
    <w:rsid w:val="00DE3946"/>
    <w:rsid w:val="00DE580F"/>
    <w:rsid w:val="00DF45C4"/>
    <w:rsid w:val="00DF56DB"/>
    <w:rsid w:val="00DF5A74"/>
    <w:rsid w:val="00E00B10"/>
    <w:rsid w:val="00E03291"/>
    <w:rsid w:val="00E04BE6"/>
    <w:rsid w:val="00E100EF"/>
    <w:rsid w:val="00E12F88"/>
    <w:rsid w:val="00E1368D"/>
    <w:rsid w:val="00E147C4"/>
    <w:rsid w:val="00E14FA2"/>
    <w:rsid w:val="00E1774F"/>
    <w:rsid w:val="00E17E35"/>
    <w:rsid w:val="00E2071D"/>
    <w:rsid w:val="00E21019"/>
    <w:rsid w:val="00E21CAB"/>
    <w:rsid w:val="00E21D1A"/>
    <w:rsid w:val="00E235F8"/>
    <w:rsid w:val="00E302DB"/>
    <w:rsid w:val="00E35C75"/>
    <w:rsid w:val="00E42933"/>
    <w:rsid w:val="00E43D11"/>
    <w:rsid w:val="00E478B5"/>
    <w:rsid w:val="00E52947"/>
    <w:rsid w:val="00E554FF"/>
    <w:rsid w:val="00E56822"/>
    <w:rsid w:val="00E61D76"/>
    <w:rsid w:val="00E638BA"/>
    <w:rsid w:val="00E64FBC"/>
    <w:rsid w:val="00E655AD"/>
    <w:rsid w:val="00E66B4B"/>
    <w:rsid w:val="00E71092"/>
    <w:rsid w:val="00E71160"/>
    <w:rsid w:val="00E722A8"/>
    <w:rsid w:val="00E75A3A"/>
    <w:rsid w:val="00E75D14"/>
    <w:rsid w:val="00E76B90"/>
    <w:rsid w:val="00E81BDB"/>
    <w:rsid w:val="00E851A5"/>
    <w:rsid w:val="00E93692"/>
    <w:rsid w:val="00EA0D8F"/>
    <w:rsid w:val="00EA1655"/>
    <w:rsid w:val="00EA75FF"/>
    <w:rsid w:val="00EB0DF9"/>
    <w:rsid w:val="00EC346B"/>
    <w:rsid w:val="00EC3E86"/>
    <w:rsid w:val="00ED1759"/>
    <w:rsid w:val="00ED55D7"/>
    <w:rsid w:val="00ED6538"/>
    <w:rsid w:val="00ED7CDC"/>
    <w:rsid w:val="00ED7F58"/>
    <w:rsid w:val="00EE0C66"/>
    <w:rsid w:val="00EE7634"/>
    <w:rsid w:val="00EF0461"/>
    <w:rsid w:val="00EF1BBF"/>
    <w:rsid w:val="00EF2B82"/>
    <w:rsid w:val="00EF3931"/>
    <w:rsid w:val="00EF4B20"/>
    <w:rsid w:val="00EF6D41"/>
    <w:rsid w:val="00F003DD"/>
    <w:rsid w:val="00F01F32"/>
    <w:rsid w:val="00F02872"/>
    <w:rsid w:val="00F07F5B"/>
    <w:rsid w:val="00F259C8"/>
    <w:rsid w:val="00F33BD6"/>
    <w:rsid w:val="00F3438C"/>
    <w:rsid w:val="00F3536B"/>
    <w:rsid w:val="00F37794"/>
    <w:rsid w:val="00F42AED"/>
    <w:rsid w:val="00F432EE"/>
    <w:rsid w:val="00F5609C"/>
    <w:rsid w:val="00F61577"/>
    <w:rsid w:val="00F627FD"/>
    <w:rsid w:val="00F63B90"/>
    <w:rsid w:val="00F6581F"/>
    <w:rsid w:val="00F762BD"/>
    <w:rsid w:val="00F84A2E"/>
    <w:rsid w:val="00F85A44"/>
    <w:rsid w:val="00F87FEC"/>
    <w:rsid w:val="00F95EB1"/>
    <w:rsid w:val="00F969E5"/>
    <w:rsid w:val="00FA3630"/>
    <w:rsid w:val="00FA3921"/>
    <w:rsid w:val="00FA3DDD"/>
    <w:rsid w:val="00FA4A0C"/>
    <w:rsid w:val="00FB4E62"/>
    <w:rsid w:val="00FB5FE4"/>
    <w:rsid w:val="00FB70A6"/>
    <w:rsid w:val="00FC1DE0"/>
    <w:rsid w:val="00FC258B"/>
    <w:rsid w:val="00FD16AD"/>
    <w:rsid w:val="00FD1A15"/>
    <w:rsid w:val="00FD3699"/>
    <w:rsid w:val="00FD4011"/>
    <w:rsid w:val="00FD4265"/>
    <w:rsid w:val="00FD664E"/>
    <w:rsid w:val="00FE6111"/>
    <w:rsid w:val="00FF235E"/>
    <w:rsid w:val="00FF325A"/>
    <w:rsid w:val="00FF497A"/>
    <w:rsid w:val="00FF4CA3"/>
    <w:rsid w:val="00FF6029"/>
    <w:rsid w:val="00FF61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ocktick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envelope address" w:unhideWhenUsed="0"/>
    <w:lsdException w:name="footnote reference" w:unhideWhenUsed="0"/>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Note Heading" w:unhideWhenUsed="0"/>
    <w:lsdException w:name="Body Text 2" w:unhideWhenUsed="0"/>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607"/>
    <w:pPr>
      <w:spacing w:after="105" w:line="276" w:lineRule="auto"/>
    </w:pPr>
    <w:rPr>
      <w:sz w:val="24"/>
      <w:szCs w:val="24"/>
    </w:rPr>
  </w:style>
  <w:style w:type="paragraph" w:styleId="Heading1">
    <w:name w:val="heading 1"/>
    <w:basedOn w:val="Normal"/>
    <w:next w:val="Normal"/>
    <w:link w:val="Heading1Char"/>
    <w:uiPriority w:val="99"/>
    <w:qFormat/>
    <w:rsid w:val="00E21D1A"/>
    <w:pPr>
      <w:keepNext/>
      <w:spacing w:line="480" w:lineRule="auto"/>
      <w:jc w:val="center"/>
      <w:outlineLvl w:val="0"/>
    </w:pPr>
    <w:rPr>
      <w:rFonts w:ascii="Arial" w:hAnsi="Arial" w:cs="Arial"/>
      <w:b/>
      <w:bCs/>
    </w:rPr>
  </w:style>
  <w:style w:type="paragraph" w:styleId="Heading2">
    <w:name w:val="heading 2"/>
    <w:basedOn w:val="Normal"/>
    <w:next w:val="Normal"/>
    <w:link w:val="Heading2Char"/>
    <w:uiPriority w:val="9"/>
    <w:semiHidden/>
    <w:unhideWhenUsed/>
    <w:qFormat/>
    <w:rsid w:val="00AA783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AA783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21D1A"/>
    <w:rPr>
      <w:rFonts w:ascii="Arial" w:hAnsi="Arial" w:cs="Arial"/>
      <w:b/>
      <w:bCs/>
      <w:sz w:val="24"/>
      <w:szCs w:val="24"/>
    </w:rPr>
  </w:style>
  <w:style w:type="paragraph" w:customStyle="1" w:styleId="Style1">
    <w:name w:val="Style1"/>
    <w:basedOn w:val="FootnoteText"/>
    <w:next w:val="NoteHeading"/>
    <w:autoRedefine/>
    <w:uiPriority w:val="99"/>
    <w:rsid w:val="00D664E0"/>
    <w:pPr>
      <w:numPr>
        <w:numId w:val="1"/>
      </w:numPr>
    </w:pPr>
    <w:rPr>
      <w:rFonts w:ascii="CG Times (W1)" w:hAnsi="CG Times (W1)" w:cs="CG Times (W1)"/>
    </w:rPr>
  </w:style>
  <w:style w:type="paragraph" w:styleId="FootnoteText">
    <w:name w:val="footnote text"/>
    <w:basedOn w:val="Normal"/>
    <w:link w:val="FootnoteTextChar"/>
    <w:autoRedefine/>
    <w:uiPriority w:val="99"/>
    <w:semiHidden/>
    <w:rsid w:val="00C263CD"/>
    <w:pPr>
      <w:tabs>
        <w:tab w:val="left" w:pos="1080"/>
      </w:tabs>
      <w:spacing w:after="120" w:line="240" w:lineRule="auto"/>
      <w:jc w:val="both"/>
    </w:pPr>
    <w:rPr>
      <w:rFonts w:ascii="Arial" w:hAnsi="Arial" w:cs="Arial"/>
      <w:sz w:val="20"/>
      <w:szCs w:val="20"/>
    </w:rPr>
  </w:style>
  <w:style w:type="character" w:customStyle="1" w:styleId="FootnoteTextChar">
    <w:name w:val="Footnote Text Char"/>
    <w:basedOn w:val="DefaultParagraphFont"/>
    <w:link w:val="FootnoteText"/>
    <w:uiPriority w:val="99"/>
    <w:semiHidden/>
    <w:rsid w:val="00C263CD"/>
    <w:rPr>
      <w:rFonts w:ascii="Arial" w:hAnsi="Arial" w:cs="Arial"/>
    </w:rPr>
  </w:style>
  <w:style w:type="paragraph" w:styleId="NoteHeading">
    <w:name w:val="Note Heading"/>
    <w:basedOn w:val="Normal"/>
    <w:next w:val="Normal"/>
    <w:link w:val="NoteHeadingChar"/>
    <w:uiPriority w:val="99"/>
    <w:rsid w:val="00D664E0"/>
  </w:style>
  <w:style w:type="character" w:customStyle="1" w:styleId="NoteHeadingChar">
    <w:name w:val="Note Heading Char"/>
    <w:basedOn w:val="DefaultParagraphFont"/>
    <w:link w:val="NoteHeading"/>
    <w:uiPriority w:val="99"/>
    <w:semiHidden/>
    <w:rsid w:val="00F565C7"/>
    <w:rPr>
      <w:color w:val="008000"/>
      <w:sz w:val="24"/>
      <w:szCs w:val="24"/>
    </w:rPr>
  </w:style>
  <w:style w:type="paragraph" w:styleId="EnvelopeAddress">
    <w:name w:val="envelope address"/>
    <w:basedOn w:val="Normal"/>
    <w:uiPriority w:val="99"/>
    <w:rsid w:val="00D664E0"/>
    <w:pPr>
      <w:framePr w:w="7920" w:h="1980" w:hRule="exact" w:hSpace="180" w:wrap="auto" w:hAnchor="page" w:xAlign="center" w:yAlign="bottom"/>
      <w:ind w:left="2880"/>
    </w:pPr>
  </w:style>
  <w:style w:type="paragraph" w:styleId="BodyText">
    <w:name w:val="Body Text"/>
    <w:basedOn w:val="Normal"/>
    <w:link w:val="BodyTextChar"/>
    <w:uiPriority w:val="99"/>
    <w:rsid w:val="00D664E0"/>
    <w:pPr>
      <w:spacing w:line="480" w:lineRule="auto"/>
      <w:jc w:val="both"/>
    </w:pPr>
  </w:style>
  <w:style w:type="character" w:customStyle="1" w:styleId="BodyTextChar">
    <w:name w:val="Body Text Char"/>
    <w:basedOn w:val="DefaultParagraphFont"/>
    <w:link w:val="BodyText"/>
    <w:uiPriority w:val="99"/>
    <w:semiHidden/>
    <w:rsid w:val="00F565C7"/>
    <w:rPr>
      <w:color w:val="008000"/>
      <w:sz w:val="24"/>
      <w:szCs w:val="24"/>
    </w:rPr>
  </w:style>
  <w:style w:type="paragraph" w:styleId="Header">
    <w:name w:val="header"/>
    <w:basedOn w:val="Normal"/>
    <w:link w:val="HeaderChar"/>
    <w:uiPriority w:val="99"/>
    <w:rsid w:val="00D664E0"/>
    <w:pPr>
      <w:tabs>
        <w:tab w:val="center" w:pos="4320"/>
        <w:tab w:val="right" w:pos="8640"/>
      </w:tabs>
    </w:pPr>
  </w:style>
  <w:style w:type="character" w:customStyle="1" w:styleId="HeaderChar">
    <w:name w:val="Header Char"/>
    <w:basedOn w:val="DefaultParagraphFont"/>
    <w:link w:val="Header"/>
    <w:uiPriority w:val="99"/>
    <w:semiHidden/>
    <w:rsid w:val="00F565C7"/>
    <w:rPr>
      <w:color w:val="008000"/>
      <w:sz w:val="24"/>
      <w:szCs w:val="24"/>
    </w:rPr>
  </w:style>
  <w:style w:type="paragraph" w:styleId="Footer">
    <w:name w:val="footer"/>
    <w:basedOn w:val="Normal"/>
    <w:link w:val="FooterChar"/>
    <w:uiPriority w:val="99"/>
    <w:rsid w:val="00D664E0"/>
    <w:pPr>
      <w:tabs>
        <w:tab w:val="center" w:pos="4320"/>
        <w:tab w:val="right" w:pos="8640"/>
      </w:tabs>
    </w:pPr>
    <w:rPr>
      <w:rFonts w:ascii="Arial" w:hAnsi="Arial" w:cs="Arial"/>
    </w:rPr>
  </w:style>
  <w:style w:type="character" w:customStyle="1" w:styleId="FooterChar">
    <w:name w:val="Footer Char"/>
    <w:basedOn w:val="DefaultParagraphFont"/>
    <w:link w:val="Footer"/>
    <w:uiPriority w:val="99"/>
    <w:rsid w:val="00F565C7"/>
    <w:rPr>
      <w:color w:val="008000"/>
      <w:sz w:val="24"/>
      <w:szCs w:val="24"/>
    </w:rPr>
  </w:style>
  <w:style w:type="character" w:styleId="PageNumber">
    <w:name w:val="page number"/>
    <w:basedOn w:val="DefaultParagraphFont"/>
    <w:uiPriority w:val="99"/>
    <w:rsid w:val="00D664E0"/>
    <w:rPr>
      <w:rFonts w:ascii="Arial" w:hAnsi="Arial" w:cs="Arial"/>
      <w:sz w:val="24"/>
      <w:szCs w:val="24"/>
    </w:rPr>
  </w:style>
  <w:style w:type="character" w:styleId="FootnoteReference">
    <w:name w:val="footnote reference"/>
    <w:basedOn w:val="DefaultParagraphFont"/>
    <w:uiPriority w:val="99"/>
    <w:semiHidden/>
    <w:rsid w:val="00D664E0"/>
    <w:rPr>
      <w:vertAlign w:val="superscript"/>
    </w:rPr>
  </w:style>
  <w:style w:type="paragraph" w:styleId="BodyText2">
    <w:name w:val="Body Text 2"/>
    <w:basedOn w:val="Normal"/>
    <w:link w:val="BodyText2Char"/>
    <w:uiPriority w:val="99"/>
    <w:rsid w:val="00A22C06"/>
    <w:pPr>
      <w:spacing w:after="120" w:line="480" w:lineRule="auto"/>
    </w:pPr>
  </w:style>
  <w:style w:type="character" w:customStyle="1" w:styleId="BodyText2Char">
    <w:name w:val="Body Text 2 Char"/>
    <w:basedOn w:val="DefaultParagraphFont"/>
    <w:link w:val="BodyText2"/>
    <w:uiPriority w:val="99"/>
    <w:rsid w:val="00A22C06"/>
    <w:rPr>
      <w:color w:val="008000"/>
      <w:sz w:val="24"/>
      <w:szCs w:val="24"/>
    </w:rPr>
  </w:style>
  <w:style w:type="paragraph" w:styleId="BodyTextIndent2">
    <w:name w:val="Body Text Indent 2"/>
    <w:basedOn w:val="Normal"/>
    <w:link w:val="BodyTextIndent2Char"/>
    <w:uiPriority w:val="99"/>
    <w:rsid w:val="00D664E0"/>
    <w:pPr>
      <w:spacing w:line="480" w:lineRule="auto"/>
      <w:ind w:left="720"/>
    </w:pPr>
  </w:style>
  <w:style w:type="character" w:customStyle="1" w:styleId="BodyTextIndent2Char">
    <w:name w:val="Body Text Indent 2 Char"/>
    <w:basedOn w:val="DefaultParagraphFont"/>
    <w:link w:val="BodyTextIndent2"/>
    <w:uiPriority w:val="99"/>
    <w:semiHidden/>
    <w:rsid w:val="00F565C7"/>
    <w:rPr>
      <w:color w:val="008000"/>
      <w:sz w:val="24"/>
      <w:szCs w:val="24"/>
    </w:rPr>
  </w:style>
  <w:style w:type="paragraph" w:styleId="Title">
    <w:name w:val="Title"/>
    <w:basedOn w:val="Normal"/>
    <w:link w:val="TitleChar"/>
    <w:uiPriority w:val="99"/>
    <w:qFormat/>
    <w:rsid w:val="00D664E0"/>
    <w:pPr>
      <w:spacing w:line="360" w:lineRule="auto"/>
      <w:jc w:val="center"/>
    </w:pPr>
    <w:rPr>
      <w:b/>
      <w:bCs/>
    </w:rPr>
  </w:style>
  <w:style w:type="character" w:customStyle="1" w:styleId="TitleChar">
    <w:name w:val="Title Char"/>
    <w:basedOn w:val="DefaultParagraphFont"/>
    <w:link w:val="Title"/>
    <w:uiPriority w:val="10"/>
    <w:rsid w:val="00F565C7"/>
    <w:rPr>
      <w:rFonts w:ascii="Cambria" w:eastAsia="Times New Roman" w:hAnsi="Cambria" w:cs="Times New Roman"/>
      <w:b/>
      <w:bCs/>
      <w:color w:val="008000"/>
      <w:kern w:val="28"/>
      <w:sz w:val="32"/>
      <w:szCs w:val="32"/>
    </w:rPr>
  </w:style>
  <w:style w:type="paragraph" w:styleId="BalloonText">
    <w:name w:val="Balloon Text"/>
    <w:basedOn w:val="Normal"/>
    <w:link w:val="BalloonTextChar"/>
    <w:uiPriority w:val="99"/>
    <w:semiHidden/>
    <w:rsid w:val="00D664E0"/>
    <w:rPr>
      <w:rFonts w:ascii="Tahoma" w:hAnsi="Tahoma" w:cs="Tahoma"/>
      <w:sz w:val="16"/>
      <w:szCs w:val="16"/>
    </w:rPr>
  </w:style>
  <w:style w:type="character" w:customStyle="1" w:styleId="BalloonTextChar">
    <w:name w:val="Balloon Text Char"/>
    <w:basedOn w:val="DefaultParagraphFont"/>
    <w:link w:val="BalloonText"/>
    <w:uiPriority w:val="99"/>
    <w:semiHidden/>
    <w:rsid w:val="00F565C7"/>
    <w:rPr>
      <w:color w:val="008000"/>
      <w:sz w:val="0"/>
      <w:szCs w:val="0"/>
    </w:rPr>
  </w:style>
  <w:style w:type="character" w:customStyle="1" w:styleId="documentbody1">
    <w:name w:val="documentbody1"/>
    <w:basedOn w:val="DefaultParagraphFont"/>
    <w:uiPriority w:val="99"/>
    <w:rsid w:val="00D664E0"/>
    <w:rPr>
      <w:rFonts w:ascii="Verdana" w:hAnsi="Verdana" w:cs="Verdana"/>
      <w:sz w:val="19"/>
      <w:szCs w:val="19"/>
    </w:rPr>
  </w:style>
  <w:style w:type="paragraph" w:customStyle="1" w:styleId="CTWOutline1">
    <w:name w:val="CTW Outline1"/>
    <w:uiPriority w:val="99"/>
    <w:rsid w:val="00D664E0"/>
    <w:pPr>
      <w:numPr>
        <w:numId w:val="30"/>
      </w:numPr>
      <w:tabs>
        <w:tab w:val="clear" w:pos="720"/>
        <w:tab w:val="num" w:pos="360"/>
      </w:tabs>
      <w:spacing w:after="240" w:line="276" w:lineRule="auto"/>
      <w:ind w:left="360" w:hanging="360"/>
      <w:jc w:val="both"/>
      <w:outlineLvl w:val="0"/>
    </w:pPr>
    <w:rPr>
      <w:sz w:val="24"/>
      <w:szCs w:val="24"/>
    </w:rPr>
  </w:style>
  <w:style w:type="paragraph" w:customStyle="1" w:styleId="CTWOutline2">
    <w:name w:val="CTW Outline2"/>
    <w:uiPriority w:val="99"/>
    <w:rsid w:val="00D664E0"/>
    <w:pPr>
      <w:numPr>
        <w:ilvl w:val="1"/>
        <w:numId w:val="30"/>
      </w:numPr>
      <w:spacing w:after="240" w:line="276" w:lineRule="auto"/>
      <w:ind w:left="720" w:hanging="360"/>
      <w:jc w:val="both"/>
      <w:outlineLvl w:val="1"/>
    </w:pPr>
    <w:rPr>
      <w:sz w:val="24"/>
      <w:szCs w:val="24"/>
    </w:rPr>
  </w:style>
  <w:style w:type="paragraph" w:customStyle="1" w:styleId="CTWOutline3">
    <w:name w:val="CTW Outline3"/>
    <w:uiPriority w:val="99"/>
    <w:rsid w:val="00D664E0"/>
    <w:pPr>
      <w:numPr>
        <w:ilvl w:val="2"/>
        <w:numId w:val="30"/>
      </w:numPr>
      <w:tabs>
        <w:tab w:val="clear" w:pos="720"/>
        <w:tab w:val="num" w:pos="1080"/>
      </w:tabs>
      <w:spacing w:after="240" w:line="276" w:lineRule="auto"/>
      <w:ind w:left="1080" w:hanging="360"/>
      <w:jc w:val="both"/>
      <w:outlineLvl w:val="2"/>
    </w:pPr>
    <w:rPr>
      <w:sz w:val="24"/>
      <w:szCs w:val="24"/>
    </w:rPr>
  </w:style>
  <w:style w:type="paragraph" w:customStyle="1" w:styleId="CTWOutline4">
    <w:name w:val="CTW Outline4"/>
    <w:uiPriority w:val="99"/>
    <w:rsid w:val="00D664E0"/>
    <w:pPr>
      <w:numPr>
        <w:ilvl w:val="3"/>
        <w:numId w:val="30"/>
      </w:numPr>
      <w:tabs>
        <w:tab w:val="clear" w:pos="720"/>
        <w:tab w:val="num" w:pos="1440"/>
      </w:tabs>
      <w:spacing w:after="240" w:line="276" w:lineRule="auto"/>
      <w:ind w:left="1440" w:hanging="360"/>
      <w:jc w:val="both"/>
      <w:outlineLvl w:val="3"/>
    </w:pPr>
    <w:rPr>
      <w:sz w:val="24"/>
      <w:szCs w:val="24"/>
    </w:rPr>
  </w:style>
  <w:style w:type="paragraph" w:customStyle="1" w:styleId="CTWOutline5">
    <w:name w:val="CTW Outline5"/>
    <w:uiPriority w:val="99"/>
    <w:rsid w:val="00D664E0"/>
    <w:pPr>
      <w:numPr>
        <w:ilvl w:val="4"/>
        <w:numId w:val="30"/>
      </w:numPr>
      <w:tabs>
        <w:tab w:val="clear" w:pos="720"/>
        <w:tab w:val="num" w:pos="1800"/>
      </w:tabs>
      <w:spacing w:after="240" w:line="276" w:lineRule="auto"/>
      <w:ind w:left="1800" w:hanging="360"/>
      <w:jc w:val="both"/>
      <w:outlineLvl w:val="4"/>
    </w:pPr>
    <w:rPr>
      <w:sz w:val="24"/>
      <w:szCs w:val="24"/>
    </w:rPr>
  </w:style>
  <w:style w:type="paragraph" w:customStyle="1" w:styleId="CTWOutline6">
    <w:name w:val="CTW Outline6"/>
    <w:uiPriority w:val="99"/>
    <w:rsid w:val="00D664E0"/>
    <w:pPr>
      <w:numPr>
        <w:ilvl w:val="5"/>
        <w:numId w:val="30"/>
      </w:numPr>
      <w:tabs>
        <w:tab w:val="clear" w:pos="720"/>
        <w:tab w:val="num" w:pos="2160"/>
      </w:tabs>
      <w:spacing w:after="240" w:line="276" w:lineRule="auto"/>
      <w:ind w:left="2160" w:hanging="360"/>
      <w:jc w:val="both"/>
      <w:outlineLvl w:val="5"/>
    </w:pPr>
    <w:rPr>
      <w:sz w:val="24"/>
      <w:szCs w:val="24"/>
    </w:rPr>
  </w:style>
  <w:style w:type="paragraph" w:customStyle="1" w:styleId="CTWOutline7">
    <w:name w:val="CTW Outline7"/>
    <w:uiPriority w:val="99"/>
    <w:rsid w:val="00D664E0"/>
    <w:pPr>
      <w:numPr>
        <w:ilvl w:val="6"/>
        <w:numId w:val="30"/>
      </w:numPr>
      <w:tabs>
        <w:tab w:val="clear" w:pos="720"/>
        <w:tab w:val="num" w:pos="2520"/>
      </w:tabs>
      <w:spacing w:after="240" w:line="276" w:lineRule="auto"/>
      <w:ind w:left="2520" w:hanging="360"/>
      <w:jc w:val="both"/>
      <w:outlineLvl w:val="6"/>
    </w:pPr>
    <w:rPr>
      <w:sz w:val="24"/>
      <w:szCs w:val="24"/>
    </w:rPr>
  </w:style>
  <w:style w:type="paragraph" w:customStyle="1" w:styleId="CTWOutline8">
    <w:name w:val="CTW Outline8"/>
    <w:uiPriority w:val="99"/>
    <w:rsid w:val="00D664E0"/>
    <w:pPr>
      <w:numPr>
        <w:ilvl w:val="7"/>
        <w:numId w:val="30"/>
      </w:numPr>
      <w:tabs>
        <w:tab w:val="clear" w:pos="720"/>
        <w:tab w:val="num" w:pos="2880"/>
      </w:tabs>
      <w:spacing w:after="240" w:line="276" w:lineRule="auto"/>
      <w:ind w:left="2880" w:hanging="360"/>
      <w:jc w:val="both"/>
      <w:outlineLvl w:val="7"/>
    </w:pPr>
    <w:rPr>
      <w:sz w:val="24"/>
      <w:szCs w:val="24"/>
    </w:rPr>
  </w:style>
  <w:style w:type="paragraph" w:customStyle="1" w:styleId="CTWOutline9">
    <w:name w:val="CTW Outline9"/>
    <w:uiPriority w:val="99"/>
    <w:rsid w:val="00D664E0"/>
    <w:pPr>
      <w:numPr>
        <w:ilvl w:val="8"/>
        <w:numId w:val="30"/>
      </w:numPr>
      <w:tabs>
        <w:tab w:val="clear" w:pos="720"/>
        <w:tab w:val="num" w:pos="3240"/>
      </w:tabs>
      <w:spacing w:after="240" w:line="276" w:lineRule="auto"/>
      <w:ind w:left="3240" w:hanging="360"/>
      <w:jc w:val="both"/>
      <w:outlineLvl w:val="8"/>
    </w:pPr>
    <w:rPr>
      <w:sz w:val="24"/>
      <w:szCs w:val="24"/>
    </w:rPr>
  </w:style>
  <w:style w:type="paragraph" w:styleId="BodyTextIndent3">
    <w:name w:val="Body Text Indent 3"/>
    <w:basedOn w:val="Normal"/>
    <w:link w:val="BodyTextIndent3Char"/>
    <w:uiPriority w:val="99"/>
    <w:rsid w:val="00D664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565C7"/>
    <w:rPr>
      <w:color w:val="008000"/>
      <w:sz w:val="16"/>
      <w:szCs w:val="16"/>
    </w:rPr>
  </w:style>
  <w:style w:type="table" w:styleId="TableGrid">
    <w:name w:val="Table Grid"/>
    <w:basedOn w:val="TableNormal"/>
    <w:uiPriority w:val="99"/>
    <w:rsid w:val="00D664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2">
    <w:name w:val="Level 2"/>
    <w:basedOn w:val="Normal"/>
    <w:uiPriority w:val="99"/>
    <w:rsid w:val="00001520"/>
    <w:pPr>
      <w:numPr>
        <w:ilvl w:val="1"/>
        <w:numId w:val="41"/>
      </w:numPr>
      <w:tabs>
        <w:tab w:val="clear" w:pos="1080"/>
        <w:tab w:val="left" w:pos="720"/>
        <w:tab w:val="left" w:pos="1440"/>
      </w:tabs>
      <w:spacing w:after="180"/>
      <w:ind w:left="1440" w:hanging="690"/>
    </w:pPr>
    <w:rPr>
      <w:rFonts w:ascii="Arial" w:hAnsi="Arial" w:cs="Arial"/>
      <w:b/>
    </w:rPr>
  </w:style>
  <w:style w:type="paragraph" w:customStyle="1" w:styleId="Level3">
    <w:name w:val="Level 3"/>
    <w:basedOn w:val="Normal"/>
    <w:autoRedefine/>
    <w:uiPriority w:val="99"/>
    <w:rsid w:val="00A0794A"/>
    <w:pPr>
      <w:numPr>
        <w:ilvl w:val="2"/>
        <w:numId w:val="41"/>
      </w:numPr>
      <w:tabs>
        <w:tab w:val="left" w:pos="1440"/>
        <w:tab w:val="left" w:pos="2160"/>
      </w:tabs>
      <w:spacing w:after="0" w:line="480" w:lineRule="auto"/>
      <w:ind w:hanging="691"/>
    </w:pPr>
    <w:rPr>
      <w:rFonts w:ascii="Arial" w:hAnsi="Arial" w:cs="Arial"/>
      <w:b/>
    </w:rPr>
  </w:style>
  <w:style w:type="paragraph" w:customStyle="1" w:styleId="Level4">
    <w:name w:val="Level 4"/>
    <w:basedOn w:val="Normal"/>
    <w:uiPriority w:val="99"/>
    <w:rsid w:val="00D664E0"/>
    <w:pPr>
      <w:numPr>
        <w:ilvl w:val="3"/>
        <w:numId w:val="41"/>
      </w:numPr>
    </w:pPr>
    <w:rPr>
      <w:rFonts w:ascii="Arial" w:hAnsi="Arial" w:cs="Arial"/>
    </w:rPr>
  </w:style>
  <w:style w:type="character" w:customStyle="1" w:styleId="groupheading5">
    <w:name w:val="groupheading5"/>
    <w:basedOn w:val="DefaultParagraphFont"/>
    <w:rsid w:val="006B20A4"/>
    <w:rPr>
      <w:rFonts w:ascii="Verdana" w:hAnsi="Verdana" w:hint="default"/>
      <w:b/>
      <w:bCs/>
      <w:sz w:val="19"/>
      <w:szCs w:val="19"/>
    </w:rPr>
  </w:style>
  <w:style w:type="paragraph" w:styleId="TOC1">
    <w:name w:val="toc 1"/>
    <w:basedOn w:val="Normal"/>
    <w:next w:val="Normal"/>
    <w:autoRedefine/>
    <w:uiPriority w:val="39"/>
    <w:unhideWhenUsed/>
    <w:qFormat/>
    <w:rsid w:val="002E0678"/>
    <w:pPr>
      <w:tabs>
        <w:tab w:val="left" w:pos="450"/>
        <w:tab w:val="right" w:leader="dot" w:pos="9350"/>
      </w:tabs>
      <w:spacing w:after="240"/>
      <w:ind w:left="540" w:hanging="450"/>
    </w:pPr>
    <w:rPr>
      <w:rFonts w:ascii="Arial" w:hAnsi="Arial"/>
    </w:rPr>
  </w:style>
  <w:style w:type="paragraph" w:styleId="TOCHeading">
    <w:name w:val="TOC Heading"/>
    <w:basedOn w:val="Heading1"/>
    <w:next w:val="Normal"/>
    <w:uiPriority w:val="39"/>
    <w:semiHidden/>
    <w:unhideWhenUsed/>
    <w:qFormat/>
    <w:rsid w:val="00AA7830"/>
    <w:pPr>
      <w:keepLines/>
      <w:spacing w:before="480" w:line="276" w:lineRule="auto"/>
      <w:jc w:val="left"/>
      <w:outlineLvl w:val="9"/>
    </w:pPr>
    <w:rPr>
      <w:rFonts w:ascii="Cambria" w:hAnsi="Cambria" w:cs="Times New Roman"/>
      <w:color w:val="365F91"/>
      <w:sz w:val="28"/>
      <w:szCs w:val="28"/>
    </w:rPr>
  </w:style>
  <w:style w:type="paragraph" w:styleId="TOC2">
    <w:name w:val="toc 2"/>
    <w:basedOn w:val="Normal"/>
    <w:next w:val="Normal"/>
    <w:autoRedefine/>
    <w:uiPriority w:val="39"/>
    <w:unhideWhenUsed/>
    <w:qFormat/>
    <w:rsid w:val="00E21D1A"/>
    <w:pPr>
      <w:tabs>
        <w:tab w:val="left" w:pos="720"/>
        <w:tab w:val="left" w:pos="1440"/>
        <w:tab w:val="left" w:pos="2160"/>
        <w:tab w:val="right" w:leader="dot" w:pos="9350"/>
      </w:tabs>
      <w:ind w:left="720" w:hanging="360"/>
    </w:pPr>
    <w:rPr>
      <w:rFonts w:ascii="Calibri" w:hAnsi="Calibri"/>
      <w:sz w:val="22"/>
      <w:szCs w:val="22"/>
    </w:rPr>
  </w:style>
  <w:style w:type="paragraph" w:styleId="TOC3">
    <w:name w:val="toc 3"/>
    <w:basedOn w:val="Normal"/>
    <w:next w:val="Normal"/>
    <w:autoRedefine/>
    <w:uiPriority w:val="39"/>
    <w:unhideWhenUsed/>
    <w:qFormat/>
    <w:rsid w:val="00E21D1A"/>
    <w:pPr>
      <w:tabs>
        <w:tab w:val="left" w:pos="1080"/>
        <w:tab w:val="right" w:leader="dot" w:pos="9350"/>
      </w:tabs>
      <w:ind w:left="1080" w:hanging="360"/>
    </w:pPr>
    <w:rPr>
      <w:rFonts w:ascii="Calibri" w:hAnsi="Calibri"/>
      <w:sz w:val="22"/>
      <w:szCs w:val="22"/>
    </w:rPr>
  </w:style>
  <w:style w:type="character" w:customStyle="1" w:styleId="Heading2Char">
    <w:name w:val="Heading 2 Char"/>
    <w:basedOn w:val="DefaultParagraphFont"/>
    <w:link w:val="Heading2"/>
    <w:uiPriority w:val="9"/>
    <w:semiHidden/>
    <w:rsid w:val="00AA7830"/>
    <w:rPr>
      <w:rFonts w:ascii="Cambria" w:eastAsia="Times New Roman" w:hAnsi="Cambria" w:cs="Times New Roman"/>
      <w:b/>
      <w:bCs/>
      <w:i/>
      <w:iCs/>
      <w:color w:val="008000"/>
      <w:sz w:val="28"/>
      <w:szCs w:val="28"/>
    </w:rPr>
  </w:style>
  <w:style w:type="character" w:customStyle="1" w:styleId="Heading3Char">
    <w:name w:val="Heading 3 Char"/>
    <w:basedOn w:val="DefaultParagraphFont"/>
    <w:link w:val="Heading3"/>
    <w:uiPriority w:val="9"/>
    <w:semiHidden/>
    <w:rsid w:val="00AA7830"/>
    <w:rPr>
      <w:rFonts w:ascii="Cambria" w:eastAsia="Times New Roman" w:hAnsi="Cambria" w:cs="Times New Roman"/>
      <w:b/>
      <w:bCs/>
      <w:color w:val="008000"/>
      <w:sz w:val="26"/>
      <w:szCs w:val="26"/>
    </w:rPr>
  </w:style>
  <w:style w:type="character" w:styleId="Hyperlink">
    <w:name w:val="Hyperlink"/>
    <w:basedOn w:val="DefaultParagraphFont"/>
    <w:uiPriority w:val="99"/>
    <w:unhideWhenUsed/>
    <w:rsid w:val="00AA7830"/>
    <w:rPr>
      <w:color w:val="0000FF"/>
      <w:u w:val="single"/>
    </w:rPr>
  </w:style>
  <w:style w:type="paragraph" w:customStyle="1" w:styleId="Style">
    <w:name w:val="Style"/>
    <w:basedOn w:val="Normal"/>
    <w:rsid w:val="00B23419"/>
    <w:pPr>
      <w:spacing w:after="0" w:line="240" w:lineRule="auto"/>
      <w:jc w:val="center"/>
    </w:pPr>
    <w:rPr>
      <w:szCs w:val="20"/>
    </w:rPr>
  </w:style>
</w:styles>
</file>

<file path=word/webSettings.xml><?xml version="1.0" encoding="utf-8"?>
<w:webSettings xmlns:r="http://schemas.openxmlformats.org/officeDocument/2006/relationships" xmlns:w="http://schemas.openxmlformats.org/wordprocessingml/2006/main">
  <w:divs>
    <w:div w:id="421217769">
      <w:bodyDiv w:val="1"/>
      <w:marLeft w:val="0"/>
      <w:marRight w:val="0"/>
      <w:marTop w:val="0"/>
      <w:marBottom w:val="0"/>
      <w:divBdr>
        <w:top w:val="none" w:sz="0" w:space="0" w:color="auto"/>
        <w:left w:val="none" w:sz="0" w:space="0" w:color="auto"/>
        <w:bottom w:val="none" w:sz="0" w:space="0" w:color="auto"/>
        <w:right w:val="none" w:sz="0" w:space="0" w:color="auto"/>
      </w:divBdr>
    </w:div>
    <w:div w:id="868223691">
      <w:bodyDiv w:val="1"/>
      <w:marLeft w:val="0"/>
      <w:marRight w:val="0"/>
      <w:marTop w:val="0"/>
      <w:marBottom w:val="0"/>
      <w:divBdr>
        <w:top w:val="none" w:sz="0" w:space="0" w:color="auto"/>
        <w:left w:val="none" w:sz="0" w:space="0" w:color="auto"/>
        <w:bottom w:val="none" w:sz="0" w:space="0" w:color="auto"/>
        <w:right w:val="none" w:sz="0" w:space="0" w:color="auto"/>
      </w:divBdr>
    </w:div>
    <w:div w:id="1047685119">
      <w:marLeft w:val="0"/>
      <w:marRight w:val="0"/>
      <w:marTop w:val="0"/>
      <w:marBottom w:val="0"/>
      <w:divBdr>
        <w:top w:val="none" w:sz="0" w:space="0" w:color="auto"/>
        <w:left w:val="none" w:sz="0" w:space="0" w:color="auto"/>
        <w:bottom w:val="none" w:sz="0" w:space="0" w:color="auto"/>
        <w:right w:val="none" w:sz="0" w:space="0" w:color="auto"/>
      </w:divBdr>
    </w:div>
    <w:div w:id="1047685120">
      <w:marLeft w:val="0"/>
      <w:marRight w:val="0"/>
      <w:marTop w:val="0"/>
      <w:marBottom w:val="0"/>
      <w:divBdr>
        <w:top w:val="none" w:sz="0" w:space="0" w:color="auto"/>
        <w:left w:val="none" w:sz="0" w:space="0" w:color="auto"/>
        <w:bottom w:val="none" w:sz="0" w:space="0" w:color="auto"/>
        <w:right w:val="none" w:sz="0" w:space="0" w:color="auto"/>
      </w:divBdr>
    </w:div>
    <w:div w:id="1242905619">
      <w:bodyDiv w:val="1"/>
      <w:marLeft w:val="0"/>
      <w:marRight w:val="0"/>
      <w:marTop w:val="0"/>
      <w:marBottom w:val="0"/>
      <w:divBdr>
        <w:top w:val="none" w:sz="0" w:space="0" w:color="auto"/>
        <w:left w:val="none" w:sz="0" w:space="0" w:color="auto"/>
        <w:bottom w:val="none" w:sz="0" w:space="0" w:color="auto"/>
        <w:right w:val="none" w:sz="0" w:space="0" w:color="auto"/>
      </w:divBdr>
    </w:div>
    <w:div w:id="1276870479">
      <w:bodyDiv w:val="1"/>
      <w:marLeft w:val="0"/>
      <w:marRight w:val="0"/>
      <w:marTop w:val="0"/>
      <w:marBottom w:val="0"/>
      <w:divBdr>
        <w:top w:val="none" w:sz="0" w:space="0" w:color="auto"/>
        <w:left w:val="none" w:sz="0" w:space="0" w:color="auto"/>
        <w:bottom w:val="none" w:sz="0" w:space="0" w:color="auto"/>
        <w:right w:val="none" w:sz="0" w:space="0" w:color="auto"/>
      </w:divBdr>
    </w:div>
    <w:div w:id="179571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4EA7-0DD0-4F5E-B83E-160F7FA58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3485</Words>
  <Characters>19755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DOCKET NO</vt:lpstr>
    </vt:vector>
  </TitlesOfParts>
  <Company>Entergy</Company>
  <LinksUpToDate>false</LinksUpToDate>
  <CharactersWithSpaces>23194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dc:title>
  <dc:subject/>
  <dc:creator>Everett Britt</dc:creator>
  <cp:keywords/>
  <dc:description/>
  <cp:lastModifiedBy>Sharon Crow</cp:lastModifiedBy>
  <cp:revision>2</cp:revision>
  <cp:lastPrinted>2010-02-23T19:59:00Z</cp:lastPrinted>
  <dcterms:created xsi:type="dcterms:W3CDTF">2010-02-23T20:00:00Z</dcterms:created>
  <dcterms:modified xsi:type="dcterms:W3CDTF">2010-02-23T20:00:00Z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723834415</vt:i4>
  </property>
  <property fmtid="{D5CDD505-2E9C-101B-9397-08002B2CF9AE}" pid="3" name="_EmailSubject">
    <vt:lpwstr>RE: </vt:lpwstr>
  </property>
  <property fmtid="{D5CDD505-2E9C-101B-9397-08002B2CF9AE}" pid="4" name="_AuthorEmailDisplayName">
    <vt:lpwstr>HOWELL, LEWIS B</vt:lpwstr>
  </property>
  <property fmtid="{D5CDD505-2E9C-101B-9397-08002B2CF9AE}" pid="5" name="_PreviousAdHocReviewCycleID">
    <vt:i4>1706198663</vt:i4>
  </property>
  <property fmtid="{D5CDD505-2E9C-101B-9397-08002B2CF9AE}" pid="6" name="_ReviewingToolsShownOnce">
    <vt:lpwstr/>
  </property>
</Properties>
</file>